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jc w:val="left"/>
        <w:rPr>
          <w:rFonts w:ascii="仿宋" w:hAnsi="仿宋" w:eastAsia="仿宋"/>
          <w:bCs/>
          <w:kern w:val="0"/>
          <w:sz w:val="32"/>
          <w:szCs w:val="32"/>
        </w:rPr>
      </w:pPr>
      <w:bookmarkStart w:id="0" w:name="_GoBack"/>
      <w:bookmarkEnd w:id="0"/>
      <w:r>
        <w:rPr>
          <w:rFonts w:hint="eastAsia" w:ascii="仿宋" w:hAnsi="仿宋" w:eastAsia="仿宋"/>
          <w:bCs/>
          <w:kern w:val="0"/>
          <w:sz w:val="32"/>
          <w:szCs w:val="32"/>
        </w:rPr>
        <w:t>附件</w:t>
      </w:r>
      <w:r>
        <w:rPr>
          <w:rFonts w:ascii="仿宋" w:hAnsi="仿宋" w:eastAsia="仿宋"/>
          <w:bCs/>
          <w:kern w:val="0"/>
          <w:sz w:val="32"/>
          <w:szCs w:val="32"/>
        </w:rPr>
        <w:t>：</w:t>
      </w:r>
    </w:p>
    <w:p>
      <w:pPr>
        <w:widowControl/>
        <w:snapToGrid w:val="0"/>
        <w:jc w:val="left"/>
        <w:rPr>
          <w:rFonts w:ascii="仿宋" w:hAnsi="仿宋" w:eastAsia="仿宋"/>
          <w:bCs/>
          <w:kern w:val="0"/>
          <w:sz w:val="32"/>
          <w:szCs w:val="32"/>
        </w:rPr>
      </w:pPr>
    </w:p>
    <w:p>
      <w:pPr>
        <w:widowControl/>
        <w:snapToGrid w:val="0"/>
        <w:jc w:val="center"/>
        <w:rPr>
          <w:rFonts w:ascii="方正小标宋简体" w:hAnsi="微软雅黑" w:eastAsia="方正小标宋简体"/>
          <w:bCs/>
          <w:kern w:val="0"/>
          <w:sz w:val="44"/>
          <w:szCs w:val="44"/>
        </w:rPr>
      </w:pPr>
      <w:r>
        <w:rPr>
          <w:rFonts w:hint="eastAsia" w:ascii="方正小标宋简体" w:hAnsi="微软雅黑" w:eastAsia="方正小标宋简体"/>
          <w:bCs/>
          <w:kern w:val="0"/>
          <w:sz w:val="44"/>
          <w:szCs w:val="44"/>
        </w:rPr>
        <w:t>北京市卫生健康委员会会计核算服务中心</w:t>
      </w:r>
    </w:p>
    <w:p>
      <w:pPr>
        <w:widowControl/>
        <w:snapToGrid w:val="0"/>
        <w:jc w:val="center"/>
        <w:rPr>
          <w:rFonts w:ascii="方正小标宋简体" w:eastAsia="方正小标宋简体"/>
          <w:sz w:val="44"/>
          <w:szCs w:val="44"/>
        </w:rPr>
      </w:pPr>
      <w:r>
        <w:rPr>
          <w:rFonts w:hint="eastAsia" w:ascii="方正小标宋简体" w:hAnsi="微软雅黑" w:eastAsia="方正小标宋简体"/>
          <w:bCs/>
          <w:kern w:val="0"/>
          <w:sz w:val="44"/>
          <w:szCs w:val="44"/>
        </w:rPr>
        <w:t>关于</w:t>
      </w:r>
      <w:r>
        <w:rPr>
          <w:rFonts w:hint="eastAsia" w:ascii="方正小标宋简体" w:eastAsia="方正小标宋简体"/>
          <w:sz w:val="44"/>
          <w:szCs w:val="44"/>
        </w:rPr>
        <w:t>行业财经</w:t>
      </w:r>
      <w:r>
        <w:rPr>
          <w:rFonts w:ascii="方正小标宋简体" w:eastAsia="方正小标宋简体"/>
          <w:sz w:val="44"/>
          <w:szCs w:val="44"/>
        </w:rPr>
        <w:t>服务-会计人员继续教育</w:t>
      </w:r>
      <w:r>
        <w:rPr>
          <w:rFonts w:hint="eastAsia" w:ascii="方正小标宋简体" w:eastAsia="方正小标宋简体"/>
          <w:sz w:val="44"/>
          <w:szCs w:val="44"/>
        </w:rPr>
        <w:t>服务</w:t>
      </w:r>
    </w:p>
    <w:p>
      <w:pPr>
        <w:widowControl/>
        <w:snapToGrid w:val="0"/>
        <w:jc w:val="center"/>
        <w:rPr>
          <w:rFonts w:ascii="方正小标宋简体" w:hAnsi="微软雅黑" w:eastAsia="方正小标宋简体"/>
          <w:bCs/>
          <w:kern w:val="0"/>
          <w:sz w:val="44"/>
          <w:szCs w:val="44"/>
        </w:rPr>
      </w:pPr>
      <w:r>
        <w:rPr>
          <w:rFonts w:hint="eastAsia" w:ascii="方正小标宋简体" w:eastAsia="方正小标宋简体"/>
          <w:sz w:val="44"/>
          <w:szCs w:val="44"/>
        </w:rPr>
        <w:t>项目</w:t>
      </w:r>
      <w:r>
        <w:rPr>
          <w:rFonts w:hint="eastAsia" w:ascii="方正小标宋简体" w:hAnsi="微软雅黑" w:eastAsia="方正小标宋简体"/>
          <w:bCs/>
          <w:kern w:val="0"/>
          <w:sz w:val="44"/>
          <w:szCs w:val="44"/>
        </w:rPr>
        <w:t>遴选文件</w:t>
      </w:r>
    </w:p>
    <w:p>
      <w:pPr>
        <w:widowControl/>
        <w:snapToGrid w:val="0"/>
        <w:jc w:val="center"/>
        <w:rPr>
          <w:rFonts w:ascii="方正小标宋简体" w:eastAsia="方正小标宋简体"/>
          <w:sz w:val="44"/>
          <w:szCs w:val="44"/>
        </w:rPr>
      </w:pPr>
    </w:p>
    <w:p>
      <w:pPr>
        <w:widowControl/>
        <w:spacing w:line="520" w:lineRule="exact"/>
        <w:ind w:firstLine="640" w:firstLineChars="200"/>
        <w:rPr>
          <w:rFonts w:ascii="仿宋_GB2312" w:hAnsi="宋体" w:eastAsia="仿宋_GB2312"/>
          <w:kern w:val="0"/>
          <w:sz w:val="32"/>
          <w:szCs w:val="32"/>
        </w:rPr>
      </w:pPr>
      <w:r>
        <w:rPr>
          <w:rFonts w:hint="eastAsia" w:ascii="CESI仿宋-GB2312" w:hAnsi="CESI仿宋-GB2312" w:eastAsia="CESI仿宋-GB2312" w:cs="CESI仿宋-GB2312"/>
          <w:kern w:val="0"/>
          <w:sz w:val="32"/>
          <w:szCs w:val="32"/>
        </w:rPr>
        <w:t>为推进北京市卫生健康系统会计人员继续教育科学化、制度化、规范化、信息化水平，完善会计人员继续教育管理机制，培养造就高素质的会计队伍，提高会计人员专业胜任能力，根据财政部《会计专业技术人员继续教育规定》（财会〔2018〕10号）和《关于全国会计人员统一服务管理平台上线运行的通知》（财办〔2024〕35号）以及我市《关于印发〈北京市会计人员继续教育实施办法〉的通知》（京财会〔2020〕190号）《北京市财政局关于2026年会计人员开展继续教育的通知》有关规定及要求，结合北京市卫生健康委员会会计核算服务中心(以下简称会计核算中心)整体工作安排，现面向社会公开遴选项目的第三方培训机构，有关事项公告如下：</w:t>
      </w:r>
    </w:p>
    <w:p>
      <w:pPr>
        <w:widowControl/>
        <w:spacing w:line="520" w:lineRule="exact"/>
        <w:ind w:firstLine="640" w:firstLineChars="200"/>
        <w:rPr>
          <w:rFonts w:ascii="黑体" w:hAnsi="黑体" w:eastAsia="黑体"/>
          <w:kern w:val="0"/>
          <w:sz w:val="32"/>
          <w:szCs w:val="32"/>
        </w:rPr>
      </w:pPr>
      <w:r>
        <w:rPr>
          <w:rFonts w:hint="eastAsia" w:ascii="黑体" w:hAnsi="黑体" w:eastAsia="黑体"/>
          <w:kern w:val="0"/>
          <w:sz w:val="32"/>
          <w:szCs w:val="32"/>
        </w:rPr>
        <w:t>一、委托单位</w:t>
      </w:r>
    </w:p>
    <w:p>
      <w:pPr>
        <w:widowControl/>
        <w:spacing w:line="520" w:lineRule="exact"/>
        <w:ind w:firstLine="640" w:firstLineChars="200"/>
        <w:rPr>
          <w:rFonts w:ascii="仿宋_GB2312" w:hAnsi="微软雅黑" w:eastAsia="仿宋_GB2312"/>
          <w:kern w:val="0"/>
          <w:sz w:val="32"/>
          <w:szCs w:val="32"/>
        </w:rPr>
      </w:pPr>
      <w:r>
        <w:rPr>
          <w:rFonts w:hint="eastAsia" w:ascii="CESI仿宋-GB2312" w:hAnsi="CESI仿宋-GB2312" w:eastAsia="CESI仿宋-GB2312" w:cs="CESI仿宋-GB2312"/>
          <w:kern w:val="0"/>
          <w:sz w:val="32"/>
          <w:szCs w:val="32"/>
        </w:rPr>
        <w:t>北京市卫生健康委员会会计核算服务中心。</w:t>
      </w:r>
    </w:p>
    <w:p>
      <w:pPr>
        <w:widowControl/>
        <w:spacing w:line="520" w:lineRule="exact"/>
        <w:ind w:firstLine="640" w:firstLineChars="200"/>
        <w:rPr>
          <w:rFonts w:ascii="黑体" w:hAnsi="黑体" w:eastAsia="黑体"/>
          <w:kern w:val="0"/>
          <w:sz w:val="32"/>
          <w:szCs w:val="32"/>
        </w:rPr>
      </w:pPr>
      <w:r>
        <w:rPr>
          <w:rFonts w:hint="eastAsia" w:ascii="黑体" w:hAnsi="黑体" w:eastAsia="黑体"/>
          <w:kern w:val="0"/>
          <w:sz w:val="32"/>
          <w:szCs w:val="32"/>
        </w:rPr>
        <w:t>二、工作任务</w:t>
      </w:r>
    </w:p>
    <w:p>
      <w:pPr>
        <w:spacing w:line="52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1.依托响应人培训平台，满足本系统3183名会计人员继续教育培训需求，并完成学员继续教育学分备案登记工作。</w:t>
      </w:r>
    </w:p>
    <w:p>
      <w:pPr>
        <w:spacing w:line="52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2.保证本年度会计人员继续教育培训学员可选择课程不低于120学时；</w:t>
      </w:r>
    </w:p>
    <w:p>
      <w:pPr>
        <w:spacing w:line="52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3.以学员工作单位为基础，每月导出学员学习进度情况；根据采购人需要，通过短信及平台信息推送提醒学员完成学习，并提供提醒记录；</w:t>
      </w:r>
    </w:p>
    <w:p>
      <w:pPr>
        <w:spacing w:line="52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4.针对学员在培训平台观看课件时提出的业务问题，提供在线答疑服务，并应于48小时内予以解答；</w:t>
      </w:r>
    </w:p>
    <w:p>
      <w:pPr>
        <w:numPr>
          <w:ilvl w:val="255"/>
          <w:numId w:val="0"/>
        </w:numPr>
        <w:spacing w:line="520" w:lineRule="exact"/>
        <w:ind w:right="-2" w:firstLine="640" w:firstLineChars="200"/>
        <w:jc w:val="left"/>
        <w:rPr>
          <w:rFonts w:ascii="CESI仿宋-GB2312" w:hAnsi="CESI仿宋-GB2312" w:eastAsia="CESI仿宋-GB2312" w:cs="CESI仿宋-GB2312"/>
          <w:kern w:val="0"/>
          <w:sz w:val="32"/>
          <w:szCs w:val="32"/>
        </w:rPr>
      </w:pPr>
      <w:r>
        <w:rPr>
          <w:rFonts w:hint="eastAsia" w:ascii="CESI仿宋-GB2312" w:hAnsi="CESI仿宋-GB2312" w:eastAsia="CESI仿宋-GB2312" w:cs="CESI仿宋-GB2312"/>
          <w:sz w:val="32"/>
          <w:szCs w:val="32"/>
        </w:rPr>
        <w:t>5.配备专业技术服务团队，提供7×24小时电话、邮件等远程支持服务，对学员在报名、学习过程中遇到的技术或操作问题及时解答。</w:t>
      </w:r>
    </w:p>
    <w:p>
      <w:pPr>
        <w:widowControl/>
        <w:spacing w:line="520" w:lineRule="exact"/>
        <w:ind w:firstLine="281" w:firstLineChars="88"/>
        <w:rPr>
          <w:rFonts w:ascii="黑体" w:hAnsi="黑体" w:eastAsia="黑体"/>
          <w:kern w:val="0"/>
          <w:sz w:val="32"/>
          <w:szCs w:val="32"/>
        </w:rPr>
      </w:pPr>
      <w:r>
        <w:rPr>
          <w:rFonts w:ascii="仿宋_GB2312" w:hAnsi="宋体" w:eastAsia="仿宋_GB2312"/>
          <w:kern w:val="0"/>
          <w:sz w:val="32"/>
          <w:szCs w:val="32"/>
        </w:rPr>
        <w:t xml:space="preserve">  </w:t>
      </w:r>
      <w:r>
        <w:rPr>
          <w:rFonts w:hint="eastAsia" w:ascii="黑体" w:hAnsi="黑体" w:eastAsia="黑体"/>
          <w:kern w:val="0"/>
          <w:sz w:val="32"/>
          <w:szCs w:val="32"/>
        </w:rPr>
        <w:t>三、</w:t>
      </w:r>
      <w:r>
        <w:rPr>
          <w:rFonts w:ascii="黑体" w:hAnsi="黑体" w:eastAsia="黑体"/>
          <w:kern w:val="0"/>
          <w:sz w:val="32"/>
          <w:szCs w:val="32"/>
        </w:rPr>
        <w:t>应具备的条件</w:t>
      </w:r>
    </w:p>
    <w:p>
      <w:pPr>
        <w:widowControl/>
        <w:spacing w:line="520" w:lineRule="exact"/>
        <w:ind w:firstLine="640" w:firstLineChars="200"/>
        <w:jc w:val="left"/>
        <w:rPr>
          <w:rFonts w:ascii="仿宋" w:hAnsi="仿宋" w:eastAsia="仿宋"/>
          <w:kern w:val="0"/>
          <w:sz w:val="32"/>
          <w:szCs w:val="32"/>
        </w:rPr>
      </w:pPr>
      <w:r>
        <w:rPr>
          <w:rFonts w:hint="eastAsia" w:ascii="CESI仿宋-GB2312" w:hAnsi="CESI仿宋-GB2312" w:eastAsia="CESI仿宋-GB2312" w:cs="CESI仿宋-GB2312"/>
          <w:kern w:val="0"/>
          <w:sz w:val="32"/>
          <w:szCs w:val="32"/>
        </w:rPr>
        <w:t>（一）依法成立的企业、社会组织、公益二类和从事生产经营活动的事业单位等，并入选北京市财政局会计人员继续教育服务机构目录。</w:t>
      </w:r>
    </w:p>
    <w:p>
      <w:pPr>
        <w:widowControl/>
        <w:spacing w:line="520" w:lineRule="exact"/>
        <w:ind w:firstLine="640" w:firstLineChars="200"/>
        <w:rPr>
          <w:rFonts w:ascii="CESI仿宋-GB2312" w:hAnsi="CESI仿宋-GB2312" w:eastAsia="CESI仿宋-GB2312" w:cs="CESI仿宋-GB2312"/>
          <w:kern w:val="0"/>
          <w:sz w:val="32"/>
          <w:szCs w:val="32"/>
        </w:rPr>
      </w:pPr>
      <w:r>
        <w:rPr>
          <w:rFonts w:hint="eastAsia" w:ascii="CESI仿宋-GB2312" w:hAnsi="CESI仿宋-GB2312" w:eastAsia="CESI仿宋-GB2312" w:cs="CESI仿宋-GB2312"/>
          <w:kern w:val="0"/>
          <w:sz w:val="32"/>
          <w:szCs w:val="32"/>
        </w:rPr>
        <w:t>（二）拥有完善的培训方案、管理制度和其他相关制度。</w:t>
      </w:r>
    </w:p>
    <w:p>
      <w:pPr>
        <w:widowControl/>
        <w:spacing w:line="520" w:lineRule="exact"/>
        <w:ind w:firstLine="640" w:firstLineChars="200"/>
        <w:rPr>
          <w:rFonts w:ascii="CESI仿宋-GB2312" w:hAnsi="CESI仿宋-GB2312" w:eastAsia="CESI仿宋-GB2312" w:cs="CESI仿宋-GB2312"/>
          <w:kern w:val="0"/>
          <w:sz w:val="32"/>
          <w:szCs w:val="32"/>
        </w:rPr>
      </w:pPr>
      <w:r>
        <w:rPr>
          <w:rFonts w:hint="eastAsia" w:ascii="CESI仿宋-GB2312" w:hAnsi="CESI仿宋-GB2312" w:eastAsia="CESI仿宋-GB2312" w:cs="CESI仿宋-GB2312"/>
          <w:kern w:val="0"/>
          <w:sz w:val="32"/>
          <w:szCs w:val="32"/>
        </w:rPr>
        <w:t>（三）拥有与承担培训工作相适应的师资资源，具备相关管理能力，能够完成所承担的培训任务，保证培训质量。</w:t>
      </w:r>
    </w:p>
    <w:p>
      <w:pPr>
        <w:widowControl/>
        <w:spacing w:line="520" w:lineRule="exact"/>
        <w:ind w:firstLine="640" w:firstLineChars="200"/>
        <w:rPr>
          <w:rFonts w:ascii="仿宋_GB2312" w:hAnsi="宋体" w:eastAsia="仿宋_GB2312" w:cs="Times New Roman"/>
          <w:sz w:val="32"/>
          <w:szCs w:val="32"/>
        </w:rPr>
      </w:pPr>
      <w:r>
        <w:rPr>
          <w:rFonts w:hint="eastAsia" w:ascii="CESI仿宋-GB2312" w:hAnsi="CESI仿宋-GB2312" w:eastAsia="CESI仿宋-GB2312" w:cs="CESI仿宋-GB2312"/>
          <w:kern w:val="0"/>
          <w:sz w:val="32"/>
          <w:szCs w:val="32"/>
        </w:rPr>
        <w:t>（四）符合相关法律法规的规定。</w:t>
      </w:r>
    </w:p>
    <w:p>
      <w:pPr>
        <w:widowControl/>
        <w:spacing w:line="520" w:lineRule="exact"/>
        <w:ind w:firstLine="281" w:firstLineChars="88"/>
        <w:rPr>
          <w:rFonts w:ascii="黑体" w:hAnsi="黑体" w:eastAsia="黑体"/>
          <w:kern w:val="0"/>
          <w:sz w:val="32"/>
          <w:szCs w:val="32"/>
        </w:rPr>
      </w:pPr>
      <w:r>
        <w:rPr>
          <w:rFonts w:ascii="仿宋_GB2312" w:hAnsi="宋体" w:eastAsia="仿宋_GB2312"/>
          <w:kern w:val="0"/>
          <w:sz w:val="32"/>
          <w:szCs w:val="32"/>
        </w:rPr>
        <w:t xml:space="preserve">  </w:t>
      </w:r>
      <w:r>
        <w:rPr>
          <w:rFonts w:hint="eastAsia" w:ascii="黑体" w:hAnsi="黑体" w:eastAsia="黑体"/>
          <w:kern w:val="0"/>
          <w:sz w:val="32"/>
          <w:szCs w:val="32"/>
        </w:rPr>
        <w:t>四、评分</w:t>
      </w:r>
      <w:r>
        <w:rPr>
          <w:rFonts w:ascii="黑体" w:hAnsi="黑体" w:eastAsia="黑体"/>
          <w:kern w:val="0"/>
          <w:sz w:val="32"/>
          <w:szCs w:val="32"/>
        </w:rPr>
        <w:t>标准</w:t>
      </w:r>
    </w:p>
    <w:p>
      <w:pPr>
        <w:widowControl/>
        <w:spacing w:line="520" w:lineRule="exact"/>
        <w:ind w:firstLine="640" w:firstLineChars="200"/>
        <w:rPr>
          <w:rFonts w:ascii="仿宋" w:hAnsi="仿宋" w:eastAsia="仿宋"/>
          <w:kern w:val="0"/>
          <w:sz w:val="32"/>
          <w:szCs w:val="32"/>
        </w:rPr>
      </w:pPr>
      <w:r>
        <w:rPr>
          <w:rFonts w:hint="eastAsia" w:ascii="CESI仿宋-GB2312" w:hAnsi="CESI仿宋-GB2312" w:eastAsia="CESI仿宋-GB2312" w:cs="CESI仿宋-GB2312"/>
          <w:kern w:val="0"/>
          <w:sz w:val="32"/>
          <w:szCs w:val="32"/>
        </w:rPr>
        <w:t>评标方法：综合评分法。总分100分。其中报价10分、投标人业绩10分、人员配置20分、方案设计40分、学习平台等级保护情况10分、制度保障10分。</w:t>
      </w:r>
    </w:p>
    <w:tbl>
      <w:tblPr>
        <w:tblStyle w:val="10"/>
        <w:tblW w:w="9640" w:type="dxa"/>
        <w:tblInd w:w="-289" w:type="dxa"/>
        <w:tblLayout w:type="autofit"/>
        <w:tblCellMar>
          <w:top w:w="0" w:type="dxa"/>
          <w:left w:w="108" w:type="dxa"/>
          <w:bottom w:w="0" w:type="dxa"/>
          <w:right w:w="108" w:type="dxa"/>
        </w:tblCellMar>
      </w:tblPr>
      <w:tblGrid>
        <w:gridCol w:w="710"/>
        <w:gridCol w:w="1417"/>
        <w:gridCol w:w="6379"/>
        <w:gridCol w:w="1134"/>
      </w:tblGrid>
      <w:tr>
        <w:tblPrEx>
          <w:tblCellMar>
            <w:top w:w="0" w:type="dxa"/>
            <w:left w:w="108" w:type="dxa"/>
            <w:bottom w:w="0" w:type="dxa"/>
            <w:right w:w="108" w:type="dxa"/>
          </w:tblCellMar>
        </w:tblPrEx>
        <w:trPr>
          <w:trHeight w:val="557" w:hRule="atLeast"/>
        </w:trPr>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20" w:lineRule="exact"/>
              <w:jc w:val="center"/>
              <w:rPr>
                <w:rFonts w:ascii="宋体" w:hAnsi="宋体"/>
                <w:b/>
                <w:bCs/>
                <w:color w:val="000000"/>
                <w:kern w:val="0"/>
                <w:sz w:val="24"/>
                <w:szCs w:val="24"/>
              </w:rPr>
            </w:pPr>
            <w:r>
              <w:rPr>
                <w:rFonts w:hint="eastAsia" w:ascii="宋体" w:hAnsi="宋体"/>
                <w:b/>
                <w:bCs/>
                <w:color w:val="000000"/>
                <w:kern w:val="0"/>
                <w:sz w:val="24"/>
                <w:szCs w:val="24"/>
              </w:rPr>
              <w:t>序号</w:t>
            </w:r>
          </w:p>
        </w:tc>
        <w:tc>
          <w:tcPr>
            <w:tcW w:w="1417" w:type="dxa"/>
            <w:tcBorders>
              <w:top w:val="single" w:color="auto" w:sz="4" w:space="0"/>
              <w:left w:val="nil"/>
              <w:bottom w:val="single" w:color="auto" w:sz="4" w:space="0"/>
              <w:right w:val="single" w:color="auto" w:sz="4" w:space="0"/>
            </w:tcBorders>
            <w:shd w:val="clear" w:color="auto" w:fill="auto"/>
            <w:vAlign w:val="center"/>
          </w:tcPr>
          <w:p>
            <w:pPr>
              <w:widowControl/>
              <w:spacing w:line="520" w:lineRule="exact"/>
              <w:jc w:val="center"/>
              <w:rPr>
                <w:rFonts w:ascii="宋体" w:hAnsi="宋体"/>
                <w:b/>
                <w:bCs/>
                <w:color w:val="000000"/>
                <w:kern w:val="0"/>
                <w:sz w:val="24"/>
                <w:szCs w:val="24"/>
              </w:rPr>
            </w:pPr>
            <w:r>
              <w:rPr>
                <w:rFonts w:hint="eastAsia" w:ascii="宋体" w:hAnsi="宋体"/>
                <w:b/>
                <w:bCs/>
                <w:color w:val="000000"/>
                <w:kern w:val="0"/>
                <w:sz w:val="24"/>
                <w:szCs w:val="24"/>
              </w:rPr>
              <w:t>评分指标</w:t>
            </w:r>
          </w:p>
        </w:tc>
        <w:tc>
          <w:tcPr>
            <w:tcW w:w="6379" w:type="dxa"/>
            <w:tcBorders>
              <w:top w:val="single" w:color="auto" w:sz="4" w:space="0"/>
              <w:left w:val="nil"/>
              <w:bottom w:val="single" w:color="auto" w:sz="4" w:space="0"/>
              <w:right w:val="single" w:color="auto" w:sz="4" w:space="0"/>
            </w:tcBorders>
            <w:shd w:val="clear" w:color="auto" w:fill="auto"/>
            <w:vAlign w:val="center"/>
          </w:tcPr>
          <w:p>
            <w:pPr>
              <w:widowControl/>
              <w:spacing w:line="520" w:lineRule="exact"/>
              <w:jc w:val="center"/>
              <w:rPr>
                <w:rFonts w:ascii="宋体" w:hAnsi="宋体"/>
                <w:color w:val="000000"/>
                <w:kern w:val="0"/>
                <w:sz w:val="24"/>
                <w:szCs w:val="24"/>
              </w:rPr>
            </w:pPr>
            <w:r>
              <w:rPr>
                <w:rFonts w:hint="eastAsia" w:ascii="宋体" w:hAnsi="宋体"/>
                <w:color w:val="000000"/>
                <w:kern w:val="0"/>
                <w:sz w:val="24"/>
                <w:szCs w:val="24"/>
              </w:rPr>
              <w:t>评分标准</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spacing w:line="520" w:lineRule="exact"/>
              <w:jc w:val="center"/>
              <w:rPr>
                <w:rFonts w:ascii="宋体" w:hAnsi="宋体"/>
                <w:b/>
                <w:bCs/>
                <w:color w:val="000000"/>
                <w:kern w:val="0"/>
                <w:sz w:val="24"/>
                <w:szCs w:val="24"/>
              </w:rPr>
            </w:pPr>
            <w:r>
              <w:rPr>
                <w:rFonts w:hint="eastAsia" w:ascii="宋体" w:hAnsi="宋体"/>
                <w:b/>
                <w:bCs/>
                <w:color w:val="000000"/>
                <w:kern w:val="0"/>
                <w:sz w:val="24"/>
                <w:szCs w:val="24"/>
              </w:rPr>
              <w:t>分值</w:t>
            </w:r>
          </w:p>
        </w:tc>
      </w:tr>
      <w:tr>
        <w:tblPrEx>
          <w:tblCellMar>
            <w:top w:w="0" w:type="dxa"/>
            <w:left w:w="108" w:type="dxa"/>
            <w:bottom w:w="0" w:type="dxa"/>
            <w:right w:w="108" w:type="dxa"/>
          </w:tblCellMar>
        </w:tblPrEx>
        <w:trPr>
          <w:trHeight w:val="1685" w:hRule="atLeast"/>
        </w:trPr>
        <w:tc>
          <w:tcPr>
            <w:tcW w:w="71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center"/>
              <w:rPr>
                <w:rFonts w:ascii="宋体" w:hAnsi="宋体"/>
                <w:color w:val="000000"/>
                <w:kern w:val="0"/>
                <w:sz w:val="24"/>
                <w:szCs w:val="24"/>
              </w:rPr>
            </w:pPr>
            <w:r>
              <w:rPr>
                <w:rFonts w:ascii="宋体" w:hAnsi="宋体"/>
                <w:color w:val="000000"/>
                <w:kern w:val="0"/>
                <w:sz w:val="24"/>
                <w:szCs w:val="24"/>
              </w:rPr>
              <w:t>1</w:t>
            </w:r>
          </w:p>
        </w:tc>
        <w:tc>
          <w:tcPr>
            <w:tcW w:w="1417" w:type="dxa"/>
            <w:tcBorders>
              <w:top w:val="nil"/>
              <w:left w:val="nil"/>
              <w:bottom w:val="single" w:color="auto" w:sz="4" w:space="0"/>
              <w:right w:val="single" w:color="auto" w:sz="4" w:space="0"/>
            </w:tcBorders>
            <w:shd w:val="clear" w:color="auto" w:fill="auto"/>
            <w:vAlign w:val="center"/>
          </w:tcPr>
          <w:p>
            <w:pPr>
              <w:widowControl/>
              <w:spacing w:line="520" w:lineRule="exact"/>
              <w:jc w:val="center"/>
              <w:rPr>
                <w:rFonts w:ascii="宋体" w:hAnsi="宋体"/>
                <w:color w:val="000000"/>
                <w:kern w:val="0"/>
                <w:sz w:val="24"/>
                <w:szCs w:val="24"/>
              </w:rPr>
            </w:pPr>
            <w:r>
              <w:rPr>
                <w:rFonts w:hint="eastAsia" w:ascii="宋体" w:hAnsi="宋体"/>
                <w:color w:val="000000"/>
                <w:kern w:val="0"/>
                <w:sz w:val="24"/>
                <w:szCs w:val="24"/>
              </w:rPr>
              <w:t>投标报价</w:t>
            </w:r>
            <w:r>
              <w:rPr>
                <w:rFonts w:ascii="宋体" w:hAnsi="宋体"/>
                <w:color w:val="000000"/>
                <w:kern w:val="0"/>
                <w:sz w:val="24"/>
                <w:szCs w:val="24"/>
              </w:rPr>
              <w:br w:type="textWrapping"/>
            </w:r>
            <w:r>
              <w:rPr>
                <w:rFonts w:hint="eastAsia" w:ascii="宋体" w:hAnsi="宋体"/>
                <w:color w:val="000000"/>
                <w:kern w:val="0"/>
                <w:sz w:val="24"/>
                <w:szCs w:val="24"/>
              </w:rPr>
              <w:t>（</w:t>
            </w:r>
            <w:r>
              <w:rPr>
                <w:rFonts w:ascii="宋体" w:hAnsi="宋体"/>
                <w:color w:val="000000"/>
                <w:kern w:val="0"/>
                <w:sz w:val="24"/>
                <w:szCs w:val="24"/>
              </w:rPr>
              <w:t>10分）</w:t>
            </w:r>
          </w:p>
        </w:tc>
        <w:tc>
          <w:tcPr>
            <w:tcW w:w="6379" w:type="dxa"/>
            <w:tcBorders>
              <w:top w:val="nil"/>
              <w:left w:val="nil"/>
              <w:bottom w:val="single" w:color="auto" w:sz="4" w:space="0"/>
              <w:right w:val="single" w:color="auto" w:sz="4" w:space="0"/>
            </w:tcBorders>
            <w:shd w:val="clear" w:color="auto" w:fill="auto"/>
            <w:vAlign w:val="center"/>
          </w:tcPr>
          <w:p>
            <w:pPr>
              <w:widowControl/>
              <w:spacing w:line="520" w:lineRule="exact"/>
              <w:jc w:val="left"/>
              <w:rPr>
                <w:rFonts w:ascii="宋体" w:hAnsi="宋体"/>
                <w:color w:val="000000"/>
                <w:kern w:val="0"/>
                <w:sz w:val="24"/>
                <w:szCs w:val="24"/>
              </w:rPr>
            </w:pPr>
            <w:r>
              <w:rPr>
                <w:rFonts w:hint="eastAsia" w:ascii="宋体" w:hAnsi="宋体"/>
                <w:color w:val="000000"/>
                <w:kern w:val="0"/>
                <w:sz w:val="24"/>
                <w:szCs w:val="24"/>
              </w:rPr>
              <w:t>价格分计算方法</w:t>
            </w:r>
            <w:r>
              <w:rPr>
                <w:rFonts w:ascii="宋体" w:hAnsi="宋体"/>
                <w:color w:val="000000"/>
                <w:kern w:val="0"/>
                <w:sz w:val="24"/>
                <w:szCs w:val="24"/>
              </w:rPr>
              <w:t>:</w:t>
            </w:r>
            <w:r>
              <w:rPr>
                <w:rFonts w:ascii="宋体" w:hAnsi="宋体"/>
                <w:color w:val="000000"/>
                <w:kern w:val="0"/>
                <w:sz w:val="24"/>
                <w:szCs w:val="24"/>
              </w:rPr>
              <w:br w:type="textWrapping"/>
            </w:r>
            <w:r>
              <w:rPr>
                <w:rFonts w:ascii="宋体" w:hAnsi="宋体"/>
                <w:color w:val="000000"/>
                <w:kern w:val="0"/>
                <w:sz w:val="24"/>
                <w:szCs w:val="24"/>
              </w:rPr>
              <w:t>1.基准价=满足</w:t>
            </w:r>
            <w:r>
              <w:rPr>
                <w:rFonts w:hint="eastAsia" w:ascii="宋体" w:hAnsi="宋体"/>
                <w:color w:val="000000"/>
                <w:kern w:val="0"/>
                <w:sz w:val="24"/>
                <w:szCs w:val="24"/>
              </w:rPr>
              <w:t>遴选</w:t>
            </w:r>
            <w:r>
              <w:rPr>
                <w:rFonts w:ascii="宋体" w:hAnsi="宋体"/>
                <w:color w:val="000000"/>
                <w:kern w:val="0"/>
                <w:sz w:val="24"/>
                <w:szCs w:val="24"/>
              </w:rPr>
              <w:t>文件要求且投标价格最低的投标报价，其价格分为满分。</w:t>
            </w:r>
            <w:r>
              <w:rPr>
                <w:rFonts w:ascii="宋体" w:hAnsi="宋体"/>
                <w:color w:val="000000"/>
                <w:kern w:val="0"/>
                <w:sz w:val="24"/>
                <w:szCs w:val="24"/>
              </w:rPr>
              <w:br w:type="textWrapping"/>
            </w:r>
            <w:r>
              <w:rPr>
                <w:rFonts w:ascii="宋体" w:hAnsi="宋体"/>
                <w:color w:val="000000"/>
                <w:kern w:val="0"/>
                <w:sz w:val="24"/>
                <w:szCs w:val="24"/>
              </w:rPr>
              <w:t>2.合格投标人的报价得分=[评标基准价/投标报价]*10*100%</w:t>
            </w:r>
          </w:p>
        </w:tc>
        <w:tc>
          <w:tcPr>
            <w:tcW w:w="1134" w:type="dxa"/>
            <w:tcBorders>
              <w:top w:val="nil"/>
              <w:left w:val="nil"/>
              <w:bottom w:val="single" w:color="auto" w:sz="4" w:space="0"/>
              <w:right w:val="single" w:color="auto" w:sz="4" w:space="0"/>
            </w:tcBorders>
            <w:shd w:val="clear" w:color="auto" w:fill="auto"/>
            <w:vAlign w:val="center"/>
          </w:tcPr>
          <w:p>
            <w:pPr>
              <w:widowControl/>
              <w:spacing w:line="520" w:lineRule="exact"/>
              <w:jc w:val="center"/>
              <w:rPr>
                <w:rFonts w:ascii="宋体" w:hAnsi="宋体"/>
                <w:color w:val="000000"/>
                <w:kern w:val="0"/>
                <w:sz w:val="24"/>
                <w:szCs w:val="24"/>
              </w:rPr>
            </w:pPr>
            <w:r>
              <w:rPr>
                <w:rFonts w:ascii="宋体" w:hAnsi="宋体"/>
                <w:color w:val="000000"/>
                <w:kern w:val="0"/>
                <w:sz w:val="24"/>
                <w:szCs w:val="24"/>
              </w:rPr>
              <w:t>10分</w:t>
            </w:r>
          </w:p>
        </w:tc>
      </w:tr>
      <w:tr>
        <w:tblPrEx>
          <w:tblCellMar>
            <w:top w:w="0" w:type="dxa"/>
            <w:left w:w="108" w:type="dxa"/>
            <w:bottom w:w="0" w:type="dxa"/>
            <w:right w:w="108" w:type="dxa"/>
          </w:tblCellMar>
        </w:tblPrEx>
        <w:trPr>
          <w:trHeight w:val="1127" w:hRule="atLeast"/>
        </w:trPr>
        <w:tc>
          <w:tcPr>
            <w:tcW w:w="710" w:type="dxa"/>
            <w:tcBorders>
              <w:top w:val="nil"/>
              <w:left w:val="single" w:color="auto" w:sz="4" w:space="0"/>
              <w:bottom w:val="single" w:color="000000" w:sz="4" w:space="0"/>
              <w:right w:val="single" w:color="auto" w:sz="4" w:space="0"/>
            </w:tcBorders>
            <w:shd w:val="clear" w:color="auto" w:fill="auto"/>
            <w:vAlign w:val="center"/>
          </w:tcPr>
          <w:p>
            <w:pPr>
              <w:widowControl/>
              <w:spacing w:line="520" w:lineRule="exact"/>
              <w:jc w:val="center"/>
              <w:rPr>
                <w:rFonts w:ascii="宋体" w:hAnsi="宋体"/>
                <w:color w:val="000000"/>
                <w:kern w:val="0"/>
                <w:sz w:val="24"/>
                <w:szCs w:val="24"/>
              </w:rPr>
            </w:pPr>
            <w:r>
              <w:rPr>
                <w:rFonts w:hint="eastAsia" w:ascii="宋体" w:hAnsi="宋体"/>
                <w:color w:val="000000"/>
                <w:kern w:val="0"/>
                <w:sz w:val="24"/>
                <w:szCs w:val="24"/>
              </w:rPr>
              <w:t>2</w:t>
            </w:r>
          </w:p>
        </w:tc>
        <w:tc>
          <w:tcPr>
            <w:tcW w:w="1417"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center"/>
              <w:rPr>
                <w:rFonts w:ascii="宋体" w:hAnsi="宋体"/>
                <w:color w:val="000000"/>
                <w:kern w:val="0"/>
                <w:sz w:val="24"/>
                <w:szCs w:val="24"/>
              </w:rPr>
            </w:pPr>
            <w:r>
              <w:rPr>
                <w:rFonts w:hint="eastAsia" w:ascii="宋体" w:hAnsi="宋体"/>
                <w:color w:val="000000"/>
                <w:kern w:val="0"/>
                <w:sz w:val="24"/>
                <w:szCs w:val="24"/>
              </w:rPr>
              <w:t>投标人业绩（</w:t>
            </w:r>
            <w:r>
              <w:rPr>
                <w:rFonts w:ascii="宋体" w:hAnsi="宋体"/>
                <w:color w:val="000000"/>
                <w:kern w:val="0"/>
                <w:sz w:val="24"/>
                <w:szCs w:val="24"/>
              </w:rPr>
              <w:t>10分）</w:t>
            </w:r>
          </w:p>
        </w:tc>
        <w:tc>
          <w:tcPr>
            <w:tcW w:w="6379" w:type="dxa"/>
            <w:tcBorders>
              <w:top w:val="nil"/>
              <w:left w:val="nil"/>
              <w:bottom w:val="single" w:color="auto" w:sz="4" w:space="0"/>
              <w:right w:val="single" w:color="auto" w:sz="4" w:space="0"/>
            </w:tcBorders>
            <w:shd w:val="clear" w:color="auto" w:fill="auto"/>
          </w:tcPr>
          <w:p>
            <w:pPr>
              <w:widowControl/>
              <w:spacing w:line="520" w:lineRule="exact"/>
              <w:jc w:val="left"/>
              <w:rPr>
                <w:rFonts w:ascii="宋体" w:hAnsi="宋体"/>
                <w:color w:val="000000"/>
                <w:kern w:val="0"/>
                <w:sz w:val="24"/>
                <w:szCs w:val="24"/>
              </w:rPr>
            </w:pPr>
            <w:r>
              <w:rPr>
                <w:rFonts w:hint="eastAsia" w:ascii="宋体" w:hAnsi="宋体"/>
                <w:color w:val="000000"/>
                <w:kern w:val="0"/>
                <w:sz w:val="24"/>
                <w:szCs w:val="24"/>
              </w:rPr>
              <w:t>相关业绩，投标人近三年（自</w:t>
            </w:r>
            <w:r>
              <w:rPr>
                <w:rFonts w:ascii="宋体" w:hAnsi="宋体"/>
                <w:color w:val="000000"/>
                <w:kern w:val="0"/>
                <w:sz w:val="24"/>
                <w:szCs w:val="24"/>
              </w:rPr>
              <w:t>202</w:t>
            </w:r>
            <w:r>
              <w:rPr>
                <w:rFonts w:hint="eastAsia" w:ascii="宋体" w:hAnsi="宋体"/>
                <w:color w:val="000000"/>
                <w:kern w:val="0"/>
                <w:sz w:val="24"/>
                <w:szCs w:val="24"/>
              </w:rPr>
              <w:t>3</w:t>
            </w:r>
            <w:r>
              <w:rPr>
                <w:rFonts w:ascii="宋体" w:hAnsi="宋体"/>
                <w:color w:val="000000"/>
                <w:kern w:val="0"/>
                <w:sz w:val="24"/>
                <w:szCs w:val="24"/>
              </w:rPr>
              <w:t>年1月1日起</w:t>
            </w:r>
            <w:r>
              <w:rPr>
                <w:rFonts w:hint="eastAsia" w:ascii="宋体" w:hAnsi="宋体"/>
                <w:color w:val="000000"/>
                <w:kern w:val="0"/>
                <w:sz w:val="24"/>
                <w:szCs w:val="24"/>
              </w:rPr>
              <w:t>）</w:t>
            </w:r>
            <w:r>
              <w:rPr>
                <w:rFonts w:ascii="宋体" w:hAnsi="宋体"/>
                <w:color w:val="000000"/>
                <w:kern w:val="0"/>
                <w:sz w:val="24"/>
                <w:szCs w:val="24"/>
              </w:rPr>
              <w:t>所承担的同类项目有效业绩证明（须提供合同首页、关键条款页、合同金额页、双方签字盖章页的复印件，并加盖投标人公章），每提供一份得2分，最高得10分。</w:t>
            </w:r>
          </w:p>
        </w:tc>
        <w:tc>
          <w:tcPr>
            <w:tcW w:w="1134" w:type="dxa"/>
            <w:tcBorders>
              <w:top w:val="nil"/>
              <w:left w:val="nil"/>
              <w:bottom w:val="single" w:color="auto" w:sz="4" w:space="0"/>
              <w:right w:val="single" w:color="auto" w:sz="4" w:space="0"/>
            </w:tcBorders>
            <w:shd w:val="clear" w:color="auto" w:fill="auto"/>
            <w:vAlign w:val="center"/>
          </w:tcPr>
          <w:p>
            <w:pPr>
              <w:widowControl/>
              <w:spacing w:line="520" w:lineRule="exact"/>
              <w:jc w:val="center"/>
              <w:rPr>
                <w:rFonts w:ascii="宋体" w:hAnsi="宋体"/>
                <w:color w:val="000000"/>
                <w:kern w:val="0"/>
                <w:sz w:val="24"/>
                <w:szCs w:val="24"/>
              </w:rPr>
            </w:pPr>
            <w:r>
              <w:rPr>
                <w:rFonts w:hint="eastAsia" w:ascii="宋体" w:hAnsi="宋体"/>
                <w:color w:val="000000"/>
                <w:kern w:val="0"/>
                <w:sz w:val="24"/>
                <w:szCs w:val="24"/>
              </w:rPr>
              <w:t>10分</w:t>
            </w:r>
          </w:p>
        </w:tc>
      </w:tr>
      <w:tr>
        <w:trPr>
          <w:trHeight w:val="1127" w:hRule="atLeast"/>
        </w:trPr>
        <w:tc>
          <w:tcPr>
            <w:tcW w:w="710" w:type="dxa"/>
            <w:vMerge w:val="restart"/>
            <w:tcBorders>
              <w:top w:val="nil"/>
              <w:left w:val="single" w:color="auto" w:sz="4" w:space="0"/>
              <w:right w:val="single" w:color="auto" w:sz="4" w:space="0"/>
            </w:tcBorders>
            <w:shd w:val="clear" w:color="auto" w:fill="auto"/>
            <w:vAlign w:val="center"/>
          </w:tcPr>
          <w:p>
            <w:pPr>
              <w:widowControl/>
              <w:spacing w:line="520" w:lineRule="exact"/>
              <w:jc w:val="center"/>
              <w:rPr>
                <w:rFonts w:ascii="宋体" w:hAnsi="宋体"/>
                <w:color w:val="000000"/>
                <w:kern w:val="0"/>
                <w:sz w:val="24"/>
                <w:szCs w:val="24"/>
              </w:rPr>
            </w:pPr>
            <w:r>
              <w:rPr>
                <w:rFonts w:hint="eastAsia" w:ascii="宋体" w:hAnsi="宋体"/>
                <w:color w:val="000000"/>
                <w:kern w:val="0"/>
                <w:sz w:val="24"/>
                <w:szCs w:val="24"/>
              </w:rPr>
              <w:t>3</w:t>
            </w:r>
          </w:p>
        </w:tc>
        <w:tc>
          <w:tcPr>
            <w:tcW w:w="1417" w:type="dxa"/>
            <w:vMerge w:val="restart"/>
            <w:tcBorders>
              <w:top w:val="nil"/>
              <w:left w:val="single" w:color="auto" w:sz="4" w:space="0"/>
              <w:right w:val="single" w:color="auto" w:sz="4" w:space="0"/>
            </w:tcBorders>
            <w:shd w:val="clear" w:color="auto" w:fill="auto"/>
            <w:vAlign w:val="center"/>
          </w:tcPr>
          <w:p>
            <w:pPr>
              <w:widowControl/>
              <w:spacing w:line="520" w:lineRule="exact"/>
              <w:jc w:val="center"/>
              <w:rPr>
                <w:rFonts w:ascii="宋体" w:hAnsi="宋体"/>
                <w:color w:val="000000"/>
                <w:kern w:val="0"/>
                <w:sz w:val="24"/>
                <w:szCs w:val="24"/>
              </w:rPr>
            </w:pPr>
            <w:r>
              <w:rPr>
                <w:rFonts w:hint="eastAsia" w:ascii="宋体" w:hAnsi="宋体"/>
                <w:color w:val="000000"/>
                <w:kern w:val="0"/>
                <w:sz w:val="24"/>
                <w:szCs w:val="24"/>
              </w:rPr>
              <w:t>人员配置</w:t>
            </w:r>
          </w:p>
          <w:p>
            <w:pPr>
              <w:widowControl/>
              <w:spacing w:line="520" w:lineRule="exact"/>
              <w:jc w:val="center"/>
              <w:rPr>
                <w:rFonts w:ascii="宋体" w:hAnsi="宋体"/>
                <w:color w:val="000000"/>
                <w:kern w:val="0"/>
                <w:sz w:val="24"/>
                <w:szCs w:val="24"/>
              </w:rPr>
            </w:pPr>
            <w:r>
              <w:rPr>
                <w:rFonts w:hint="eastAsia" w:ascii="宋体" w:hAnsi="宋体"/>
                <w:color w:val="000000"/>
                <w:kern w:val="0"/>
                <w:sz w:val="24"/>
                <w:szCs w:val="24"/>
              </w:rPr>
              <w:t>（20分）</w:t>
            </w:r>
          </w:p>
        </w:tc>
        <w:tc>
          <w:tcPr>
            <w:tcW w:w="6379" w:type="dxa"/>
            <w:tcBorders>
              <w:top w:val="nil"/>
              <w:left w:val="nil"/>
              <w:bottom w:val="single" w:color="auto" w:sz="4" w:space="0"/>
              <w:right w:val="single" w:color="auto" w:sz="4" w:space="0"/>
            </w:tcBorders>
            <w:shd w:val="clear" w:color="auto" w:fill="auto"/>
            <w:vAlign w:val="center"/>
          </w:tcPr>
          <w:p>
            <w:pPr>
              <w:widowControl/>
              <w:spacing w:line="520" w:lineRule="exact"/>
              <w:rPr>
                <w:rFonts w:ascii="宋体" w:hAnsi="宋体"/>
                <w:color w:val="000000"/>
                <w:kern w:val="0"/>
                <w:sz w:val="24"/>
                <w:szCs w:val="24"/>
              </w:rPr>
            </w:pPr>
            <w:r>
              <w:rPr>
                <w:rFonts w:hint="eastAsia" w:ascii="宋体" w:hAnsi="宋体"/>
                <w:color w:val="000000"/>
                <w:kern w:val="0"/>
                <w:sz w:val="24"/>
                <w:szCs w:val="24"/>
              </w:rPr>
              <w:t>师资团队评价：</w:t>
            </w:r>
            <w:r>
              <w:rPr>
                <w:rFonts w:hint="eastAsia" w:ascii="宋体" w:hAnsi="宋体"/>
                <w:color w:val="000000"/>
                <w:kern w:val="0"/>
                <w:sz w:val="24"/>
                <w:szCs w:val="24"/>
              </w:rPr>
              <w:br w:type="textWrapping"/>
            </w:r>
            <w:r>
              <w:rPr>
                <w:rFonts w:hint="eastAsia" w:ascii="宋体" w:hAnsi="宋体"/>
                <w:color w:val="000000"/>
                <w:kern w:val="0"/>
                <w:sz w:val="24"/>
                <w:szCs w:val="24"/>
              </w:rPr>
              <w:t>1.等同于正高级职称师资数量≥10人，等同于副高级职称师资数量≥20人，得10分；</w:t>
            </w:r>
          </w:p>
          <w:p>
            <w:pPr>
              <w:widowControl/>
              <w:numPr>
                <w:ilvl w:val="0"/>
                <w:numId w:val="1"/>
              </w:numPr>
              <w:spacing w:line="520" w:lineRule="exact"/>
              <w:rPr>
                <w:rFonts w:ascii="宋体" w:hAnsi="宋体"/>
                <w:color w:val="000000"/>
                <w:kern w:val="0"/>
                <w:sz w:val="24"/>
                <w:szCs w:val="24"/>
              </w:rPr>
            </w:pPr>
            <w:r>
              <w:rPr>
                <w:rFonts w:hint="eastAsia" w:ascii="宋体" w:hAnsi="宋体"/>
                <w:color w:val="000000"/>
                <w:kern w:val="0"/>
                <w:sz w:val="24"/>
                <w:szCs w:val="24"/>
              </w:rPr>
              <w:t>6人≤等同于正高级职称师资数量＜10人，12人≤等同于副高级职称师资数量＜20人，得6分；</w:t>
            </w:r>
          </w:p>
          <w:p>
            <w:pPr>
              <w:widowControl/>
              <w:numPr>
                <w:ilvl w:val="0"/>
                <w:numId w:val="1"/>
              </w:numPr>
              <w:spacing w:line="520" w:lineRule="exact"/>
              <w:rPr>
                <w:rFonts w:ascii="宋体" w:hAnsi="宋体"/>
                <w:color w:val="000000"/>
                <w:kern w:val="0"/>
                <w:sz w:val="24"/>
                <w:szCs w:val="24"/>
              </w:rPr>
            </w:pPr>
            <w:r>
              <w:rPr>
                <w:rFonts w:hint="eastAsia" w:ascii="宋体" w:hAnsi="宋体"/>
                <w:color w:val="000000"/>
                <w:kern w:val="0"/>
                <w:sz w:val="24"/>
                <w:szCs w:val="24"/>
              </w:rPr>
              <w:t>3人≤等同于正高级职称师资数量＜6人，6人≤等同于副高级职称师资数量＜12人，得3分；</w:t>
            </w:r>
          </w:p>
          <w:p>
            <w:pPr>
              <w:widowControl/>
              <w:spacing w:line="520" w:lineRule="exact"/>
              <w:rPr>
                <w:rFonts w:ascii="宋体" w:hAnsi="宋体"/>
                <w:color w:val="000000"/>
                <w:kern w:val="0"/>
                <w:sz w:val="24"/>
                <w:szCs w:val="24"/>
              </w:rPr>
            </w:pPr>
            <w:r>
              <w:rPr>
                <w:rFonts w:hint="eastAsia" w:ascii="宋体" w:hAnsi="宋体"/>
                <w:color w:val="000000"/>
                <w:kern w:val="0"/>
                <w:sz w:val="24"/>
                <w:szCs w:val="24"/>
              </w:rPr>
              <w:t>4.师资数量及职称情况未达到以上标准，不得分。</w:t>
            </w:r>
          </w:p>
          <w:p>
            <w:pPr>
              <w:widowControl/>
              <w:spacing w:line="520" w:lineRule="exact"/>
              <w:rPr>
                <w:rFonts w:ascii="宋体" w:hAnsi="宋体"/>
                <w:color w:val="000000"/>
                <w:kern w:val="0"/>
                <w:sz w:val="24"/>
                <w:szCs w:val="24"/>
              </w:rPr>
            </w:pPr>
            <w:r>
              <w:rPr>
                <w:rFonts w:hint="eastAsia" w:ascii="宋体" w:hAnsi="宋体"/>
                <w:color w:val="000000"/>
                <w:kern w:val="0"/>
                <w:sz w:val="24"/>
                <w:szCs w:val="24"/>
              </w:rPr>
              <w:t>注：需提供师资职称证书、聘用证书等证明材料。</w:t>
            </w:r>
          </w:p>
        </w:tc>
        <w:tc>
          <w:tcPr>
            <w:tcW w:w="1134" w:type="dxa"/>
            <w:vMerge w:val="restart"/>
            <w:tcBorders>
              <w:top w:val="nil"/>
              <w:left w:val="nil"/>
              <w:right w:val="single" w:color="auto" w:sz="4" w:space="0"/>
            </w:tcBorders>
            <w:shd w:val="clear" w:color="auto" w:fill="auto"/>
            <w:vAlign w:val="center"/>
          </w:tcPr>
          <w:p>
            <w:pPr>
              <w:widowControl/>
              <w:spacing w:line="520" w:lineRule="exact"/>
              <w:jc w:val="center"/>
              <w:rPr>
                <w:rFonts w:ascii="宋体" w:hAnsi="宋体"/>
                <w:color w:val="000000"/>
                <w:kern w:val="0"/>
                <w:sz w:val="24"/>
                <w:szCs w:val="24"/>
              </w:rPr>
            </w:pPr>
            <w:r>
              <w:rPr>
                <w:rFonts w:hint="eastAsia" w:ascii="宋体" w:hAnsi="宋体"/>
                <w:color w:val="000000"/>
                <w:kern w:val="0"/>
                <w:sz w:val="24"/>
                <w:szCs w:val="24"/>
              </w:rPr>
              <w:t>20分</w:t>
            </w:r>
          </w:p>
        </w:tc>
      </w:tr>
      <w:tr>
        <w:tblPrEx>
          <w:tblCellMar>
            <w:top w:w="0" w:type="dxa"/>
            <w:left w:w="108" w:type="dxa"/>
            <w:bottom w:w="0" w:type="dxa"/>
            <w:right w:w="108" w:type="dxa"/>
          </w:tblCellMar>
        </w:tblPrEx>
        <w:trPr>
          <w:trHeight w:val="1127" w:hRule="atLeast"/>
        </w:trPr>
        <w:tc>
          <w:tcPr>
            <w:tcW w:w="710" w:type="dxa"/>
            <w:vMerge w:val="continue"/>
            <w:tcBorders>
              <w:left w:val="single" w:color="auto" w:sz="4" w:space="0"/>
              <w:bottom w:val="single" w:color="000000" w:sz="4" w:space="0"/>
              <w:right w:val="single" w:color="auto" w:sz="4" w:space="0"/>
            </w:tcBorders>
            <w:shd w:val="clear" w:color="auto" w:fill="auto"/>
            <w:vAlign w:val="center"/>
          </w:tcPr>
          <w:p>
            <w:pPr>
              <w:widowControl/>
              <w:spacing w:line="520" w:lineRule="exact"/>
              <w:jc w:val="center"/>
              <w:rPr>
                <w:rFonts w:ascii="宋体" w:hAnsi="宋体"/>
                <w:color w:val="000000"/>
                <w:kern w:val="0"/>
                <w:sz w:val="24"/>
                <w:szCs w:val="24"/>
              </w:rPr>
            </w:pPr>
          </w:p>
        </w:tc>
        <w:tc>
          <w:tcPr>
            <w:tcW w:w="1417" w:type="dxa"/>
            <w:vMerge w:val="continue"/>
            <w:tcBorders>
              <w:left w:val="single" w:color="auto" w:sz="4" w:space="0"/>
              <w:bottom w:val="single" w:color="auto" w:sz="4" w:space="0"/>
              <w:right w:val="single" w:color="auto" w:sz="4" w:space="0"/>
            </w:tcBorders>
            <w:shd w:val="clear" w:color="auto" w:fill="auto"/>
            <w:vAlign w:val="center"/>
          </w:tcPr>
          <w:p>
            <w:pPr>
              <w:widowControl/>
              <w:spacing w:line="520" w:lineRule="exact"/>
              <w:jc w:val="center"/>
              <w:rPr>
                <w:rFonts w:ascii="宋体" w:hAnsi="宋体"/>
                <w:color w:val="000000"/>
                <w:kern w:val="0"/>
                <w:sz w:val="24"/>
                <w:szCs w:val="24"/>
              </w:rPr>
            </w:pPr>
          </w:p>
        </w:tc>
        <w:tc>
          <w:tcPr>
            <w:tcW w:w="6379" w:type="dxa"/>
            <w:tcBorders>
              <w:top w:val="nil"/>
              <w:left w:val="nil"/>
              <w:bottom w:val="single" w:color="auto" w:sz="4" w:space="0"/>
              <w:right w:val="single" w:color="auto" w:sz="4" w:space="0"/>
            </w:tcBorders>
            <w:shd w:val="clear" w:color="auto" w:fill="auto"/>
            <w:vAlign w:val="center"/>
          </w:tcPr>
          <w:p>
            <w:pPr>
              <w:widowControl/>
              <w:spacing w:line="520" w:lineRule="exact"/>
              <w:rPr>
                <w:rFonts w:ascii="宋体" w:hAnsi="宋体"/>
                <w:color w:val="000000"/>
                <w:kern w:val="0"/>
                <w:sz w:val="24"/>
                <w:szCs w:val="24"/>
              </w:rPr>
            </w:pPr>
            <w:r>
              <w:rPr>
                <w:rFonts w:hint="eastAsia" w:ascii="宋体" w:hAnsi="宋体"/>
                <w:color w:val="000000"/>
                <w:kern w:val="0"/>
                <w:sz w:val="24"/>
                <w:szCs w:val="24"/>
              </w:rPr>
              <w:t>技术服务团队评价：</w:t>
            </w:r>
          </w:p>
          <w:p>
            <w:pPr>
              <w:widowControl/>
              <w:numPr>
                <w:ilvl w:val="0"/>
                <w:numId w:val="2"/>
              </w:numPr>
              <w:spacing w:line="520" w:lineRule="exact"/>
              <w:rPr>
                <w:rFonts w:ascii="宋体" w:hAnsi="宋体"/>
                <w:color w:val="000000"/>
                <w:kern w:val="0"/>
                <w:sz w:val="24"/>
                <w:szCs w:val="24"/>
              </w:rPr>
            </w:pPr>
            <w:r>
              <w:rPr>
                <w:rFonts w:hint="eastAsia" w:ascii="宋体" w:hAnsi="宋体"/>
                <w:color w:val="000000"/>
                <w:kern w:val="0"/>
                <w:sz w:val="24"/>
                <w:szCs w:val="24"/>
              </w:rPr>
              <w:t>项目组人员≥5人，工作经验丰富，具备三年以上信息系统运维服务经验，人员配备合理，职责分工明确，对项目实际需要的契合度高，能完全满足遴选文件要求的得10分；</w:t>
            </w:r>
            <w:r>
              <w:rPr>
                <w:rFonts w:hint="eastAsia" w:ascii="宋体" w:hAnsi="宋体"/>
                <w:color w:val="000000"/>
                <w:kern w:val="0"/>
                <w:sz w:val="24"/>
                <w:szCs w:val="24"/>
              </w:rPr>
              <w:br w:type="textWrapping"/>
            </w:r>
            <w:r>
              <w:rPr>
                <w:rFonts w:hint="eastAsia" w:ascii="宋体" w:hAnsi="宋体"/>
                <w:color w:val="000000"/>
                <w:kern w:val="0"/>
                <w:sz w:val="24"/>
                <w:szCs w:val="24"/>
              </w:rPr>
              <w:t>2. 3人≤项目组人员＜5人，工作经验较丰富，人员配备基本合理，职责分工基本明确，对项目实际需要的契合度较高，基本能满足遴选文件要求的得6分；</w:t>
            </w:r>
            <w:r>
              <w:rPr>
                <w:rFonts w:hint="eastAsia" w:ascii="宋体" w:hAnsi="宋体"/>
                <w:color w:val="000000"/>
                <w:kern w:val="0"/>
                <w:sz w:val="24"/>
                <w:szCs w:val="24"/>
              </w:rPr>
              <w:br w:type="textWrapping"/>
            </w:r>
            <w:r>
              <w:rPr>
                <w:rFonts w:hint="eastAsia" w:ascii="宋体" w:hAnsi="宋体"/>
                <w:color w:val="000000"/>
                <w:kern w:val="0"/>
                <w:sz w:val="24"/>
                <w:szCs w:val="24"/>
              </w:rPr>
              <w:t>3. 项目组人员＜3人，人员缺乏相关工作经验，人员配备不合理，职责分工不明确，对项目实际需要的契合度低的得0分。</w:t>
            </w:r>
            <w:r>
              <w:rPr>
                <w:rFonts w:hint="eastAsia" w:ascii="宋体" w:hAnsi="宋体"/>
                <w:color w:val="000000"/>
                <w:kern w:val="0"/>
                <w:sz w:val="24"/>
                <w:szCs w:val="24"/>
              </w:rPr>
              <w:br w:type="textWrapping"/>
            </w:r>
            <w:r>
              <w:rPr>
                <w:rFonts w:hint="eastAsia" w:ascii="宋体" w:hAnsi="宋体"/>
                <w:color w:val="000000"/>
                <w:kern w:val="0"/>
                <w:sz w:val="24"/>
                <w:szCs w:val="24"/>
              </w:rPr>
              <w:t>注：投标人须提供项目组人员简历及项目组人员在投标人单位近三年社会保险缴费记录（网上查询社保缴费记录截图打印并加盖单位公章），否则不加分。</w:t>
            </w:r>
          </w:p>
        </w:tc>
        <w:tc>
          <w:tcPr>
            <w:tcW w:w="1134" w:type="dxa"/>
            <w:vMerge w:val="continue"/>
            <w:tcBorders>
              <w:left w:val="nil"/>
              <w:bottom w:val="single" w:color="auto" w:sz="4" w:space="0"/>
              <w:right w:val="single" w:color="auto" w:sz="4" w:space="0"/>
            </w:tcBorders>
            <w:shd w:val="clear" w:color="auto" w:fill="auto"/>
            <w:vAlign w:val="center"/>
          </w:tcPr>
          <w:p>
            <w:pPr>
              <w:widowControl/>
              <w:spacing w:line="520" w:lineRule="exact"/>
              <w:jc w:val="center"/>
              <w:rPr>
                <w:rFonts w:ascii="宋体" w:hAnsi="宋体"/>
                <w:color w:val="000000"/>
                <w:kern w:val="0"/>
                <w:sz w:val="24"/>
                <w:szCs w:val="24"/>
              </w:rPr>
            </w:pPr>
          </w:p>
        </w:tc>
      </w:tr>
      <w:tr>
        <w:tblPrEx>
          <w:tblCellMar>
            <w:top w:w="0" w:type="dxa"/>
            <w:left w:w="108" w:type="dxa"/>
            <w:bottom w:w="0" w:type="dxa"/>
            <w:right w:w="108" w:type="dxa"/>
          </w:tblCellMar>
        </w:tblPrEx>
        <w:trPr>
          <w:trHeight w:val="1127" w:hRule="atLeast"/>
        </w:trPr>
        <w:tc>
          <w:tcPr>
            <w:tcW w:w="710" w:type="dxa"/>
            <w:tcBorders>
              <w:top w:val="nil"/>
              <w:left w:val="single" w:color="auto" w:sz="4" w:space="0"/>
              <w:bottom w:val="single" w:color="000000" w:sz="4" w:space="0"/>
              <w:right w:val="single" w:color="auto" w:sz="4" w:space="0"/>
            </w:tcBorders>
            <w:shd w:val="clear" w:color="auto" w:fill="auto"/>
            <w:vAlign w:val="center"/>
          </w:tcPr>
          <w:p>
            <w:pPr>
              <w:widowControl/>
              <w:spacing w:line="520" w:lineRule="exact"/>
              <w:jc w:val="center"/>
              <w:rPr>
                <w:rFonts w:ascii="宋体" w:hAnsi="宋体"/>
                <w:color w:val="000000"/>
                <w:kern w:val="0"/>
                <w:sz w:val="24"/>
                <w:szCs w:val="24"/>
              </w:rPr>
            </w:pPr>
            <w:r>
              <w:rPr>
                <w:rFonts w:hint="eastAsia" w:ascii="宋体" w:hAnsi="宋体"/>
                <w:color w:val="000000"/>
                <w:kern w:val="0"/>
                <w:sz w:val="24"/>
                <w:szCs w:val="24"/>
              </w:rPr>
              <w:t>4</w:t>
            </w:r>
          </w:p>
        </w:tc>
        <w:tc>
          <w:tcPr>
            <w:tcW w:w="1417"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center"/>
              <w:rPr>
                <w:rFonts w:ascii="宋体" w:hAnsi="宋体"/>
                <w:color w:val="000000"/>
                <w:kern w:val="0"/>
                <w:sz w:val="24"/>
                <w:szCs w:val="24"/>
              </w:rPr>
            </w:pPr>
            <w:r>
              <w:rPr>
                <w:rFonts w:hint="eastAsia" w:ascii="宋体" w:hAnsi="宋体"/>
                <w:color w:val="000000"/>
                <w:kern w:val="0"/>
                <w:sz w:val="24"/>
                <w:szCs w:val="24"/>
              </w:rPr>
              <w:t>项目方案</w:t>
            </w:r>
          </w:p>
          <w:p>
            <w:pPr>
              <w:widowControl/>
              <w:spacing w:line="520" w:lineRule="exact"/>
              <w:jc w:val="center"/>
              <w:rPr>
                <w:rFonts w:ascii="宋体" w:hAnsi="宋体"/>
                <w:color w:val="000000"/>
                <w:kern w:val="0"/>
                <w:sz w:val="24"/>
                <w:szCs w:val="24"/>
              </w:rPr>
            </w:pPr>
            <w:r>
              <w:rPr>
                <w:rFonts w:hint="eastAsia" w:ascii="宋体" w:hAnsi="宋体"/>
                <w:color w:val="000000"/>
                <w:kern w:val="0"/>
                <w:sz w:val="24"/>
                <w:szCs w:val="24"/>
              </w:rPr>
              <w:t>设计</w:t>
            </w:r>
            <w:r>
              <w:rPr>
                <w:rFonts w:ascii="宋体" w:hAnsi="宋体"/>
                <w:color w:val="000000"/>
                <w:kern w:val="0"/>
                <w:sz w:val="24"/>
                <w:szCs w:val="24"/>
              </w:rPr>
              <w:br w:type="textWrapping"/>
            </w:r>
            <w:r>
              <w:rPr>
                <w:rFonts w:hint="eastAsia" w:ascii="宋体" w:hAnsi="宋体"/>
                <w:color w:val="000000"/>
                <w:kern w:val="0"/>
                <w:sz w:val="24"/>
                <w:szCs w:val="24"/>
              </w:rPr>
              <w:t>（4</w:t>
            </w:r>
            <w:r>
              <w:rPr>
                <w:rFonts w:ascii="宋体" w:hAnsi="宋体"/>
                <w:color w:val="000000"/>
                <w:kern w:val="0"/>
                <w:sz w:val="24"/>
                <w:szCs w:val="24"/>
              </w:rPr>
              <w:t>0分）</w:t>
            </w:r>
          </w:p>
        </w:tc>
        <w:tc>
          <w:tcPr>
            <w:tcW w:w="6379" w:type="dxa"/>
            <w:tcBorders>
              <w:top w:val="nil"/>
              <w:left w:val="nil"/>
              <w:bottom w:val="single" w:color="auto" w:sz="4" w:space="0"/>
              <w:right w:val="single" w:color="auto" w:sz="4" w:space="0"/>
            </w:tcBorders>
            <w:shd w:val="clear" w:color="auto" w:fill="auto"/>
            <w:vAlign w:val="center"/>
          </w:tcPr>
          <w:p>
            <w:pPr>
              <w:widowControl/>
              <w:spacing w:line="520" w:lineRule="exact"/>
              <w:rPr>
                <w:rFonts w:ascii="宋体" w:hAnsi="宋体"/>
                <w:color w:val="000000"/>
                <w:kern w:val="0"/>
                <w:sz w:val="24"/>
                <w:szCs w:val="24"/>
              </w:rPr>
            </w:pPr>
            <w:r>
              <w:rPr>
                <w:rFonts w:hint="eastAsia" w:ascii="宋体" w:hAnsi="宋体"/>
                <w:color w:val="000000"/>
                <w:kern w:val="0"/>
                <w:sz w:val="24"/>
                <w:szCs w:val="24"/>
              </w:rPr>
              <w:t>项目方案需符合市财政局有关规定，方案种类包括但不限于项目工作方案、学习平台运维方案、应急响应方案、质量保障方案等。</w:t>
            </w:r>
          </w:p>
          <w:p>
            <w:pPr>
              <w:widowControl/>
              <w:spacing w:line="520" w:lineRule="exact"/>
              <w:rPr>
                <w:rFonts w:ascii="宋体" w:hAnsi="宋体"/>
                <w:color w:val="000000"/>
                <w:kern w:val="0"/>
                <w:sz w:val="24"/>
                <w:szCs w:val="24"/>
              </w:rPr>
            </w:pPr>
            <w:r>
              <w:rPr>
                <w:rFonts w:hint="eastAsia" w:ascii="宋体" w:hAnsi="宋体"/>
                <w:color w:val="000000"/>
                <w:kern w:val="0"/>
                <w:sz w:val="24"/>
                <w:szCs w:val="24"/>
              </w:rPr>
              <w:t>1.方案种类齐全，内容细致，对采购人需求理解全面，契合度高、针对性强，各类方案可有效落地，得32-40分；</w:t>
            </w:r>
          </w:p>
          <w:p>
            <w:pPr>
              <w:widowControl/>
              <w:spacing w:line="520" w:lineRule="exact"/>
              <w:rPr>
                <w:rFonts w:ascii="宋体" w:hAnsi="宋体"/>
                <w:color w:val="000000"/>
                <w:kern w:val="0"/>
                <w:sz w:val="24"/>
                <w:szCs w:val="24"/>
              </w:rPr>
            </w:pPr>
            <w:r>
              <w:rPr>
                <w:rFonts w:hint="eastAsia" w:ascii="宋体" w:hAnsi="宋体"/>
                <w:color w:val="000000"/>
                <w:kern w:val="0"/>
                <w:sz w:val="24"/>
                <w:szCs w:val="24"/>
              </w:rPr>
              <w:t>2.方案种类较齐全，内容较细致，对采购人需求理解较全面，契合度较高、针对性较强，各类方案可有效落地，得24-31分；</w:t>
            </w:r>
          </w:p>
          <w:p>
            <w:pPr>
              <w:widowControl/>
              <w:spacing w:line="520" w:lineRule="exact"/>
              <w:rPr>
                <w:rFonts w:ascii="宋体" w:hAnsi="宋体"/>
                <w:color w:val="000000"/>
                <w:kern w:val="0"/>
                <w:sz w:val="24"/>
                <w:szCs w:val="24"/>
              </w:rPr>
            </w:pPr>
            <w:r>
              <w:rPr>
                <w:rFonts w:hint="eastAsia" w:ascii="宋体" w:hAnsi="宋体"/>
                <w:color w:val="000000"/>
                <w:kern w:val="0"/>
                <w:sz w:val="24"/>
                <w:szCs w:val="24"/>
              </w:rPr>
              <w:t>3.方案种类较齐全，对采购人需求理解一般，契合度一般、针对性一般，各类方案可落地性不足，得16-23分；</w:t>
            </w:r>
          </w:p>
          <w:p>
            <w:pPr>
              <w:widowControl/>
              <w:spacing w:line="520" w:lineRule="exact"/>
              <w:rPr>
                <w:rFonts w:ascii="宋体" w:hAnsi="宋体"/>
                <w:color w:val="000000"/>
                <w:kern w:val="0"/>
                <w:sz w:val="24"/>
                <w:szCs w:val="24"/>
              </w:rPr>
            </w:pPr>
            <w:r>
              <w:rPr>
                <w:rFonts w:hint="eastAsia" w:ascii="宋体" w:hAnsi="宋体"/>
                <w:color w:val="000000"/>
                <w:kern w:val="0"/>
                <w:sz w:val="24"/>
                <w:szCs w:val="24"/>
              </w:rPr>
              <w:t>4.方案种类不全，对采购人需求理解较差，契合度较差、针对性较差，各类方案无法落地，得8-15分；</w:t>
            </w:r>
          </w:p>
          <w:p>
            <w:pPr>
              <w:widowControl/>
              <w:spacing w:line="520" w:lineRule="exact"/>
              <w:rPr>
                <w:rFonts w:ascii="宋体" w:hAnsi="宋体"/>
                <w:color w:val="000000"/>
                <w:kern w:val="0"/>
                <w:sz w:val="24"/>
                <w:szCs w:val="24"/>
              </w:rPr>
            </w:pPr>
            <w:r>
              <w:rPr>
                <w:rFonts w:hint="eastAsia" w:ascii="宋体" w:hAnsi="宋体"/>
                <w:color w:val="000000"/>
                <w:kern w:val="0"/>
                <w:sz w:val="24"/>
                <w:szCs w:val="24"/>
              </w:rPr>
              <w:t>5.未提供方案，不得分。</w:t>
            </w:r>
          </w:p>
        </w:tc>
        <w:tc>
          <w:tcPr>
            <w:tcW w:w="1134" w:type="dxa"/>
            <w:tcBorders>
              <w:top w:val="nil"/>
              <w:left w:val="nil"/>
              <w:bottom w:val="single" w:color="auto" w:sz="4" w:space="0"/>
              <w:right w:val="single" w:color="auto" w:sz="4" w:space="0"/>
            </w:tcBorders>
            <w:shd w:val="clear" w:color="auto" w:fill="auto"/>
            <w:vAlign w:val="center"/>
          </w:tcPr>
          <w:p>
            <w:pPr>
              <w:widowControl/>
              <w:spacing w:line="520" w:lineRule="exact"/>
              <w:jc w:val="center"/>
              <w:rPr>
                <w:rFonts w:ascii="宋体" w:hAnsi="宋体"/>
                <w:color w:val="000000"/>
                <w:kern w:val="0"/>
                <w:sz w:val="24"/>
                <w:szCs w:val="24"/>
              </w:rPr>
            </w:pPr>
            <w:r>
              <w:rPr>
                <w:rFonts w:hint="eastAsia" w:ascii="宋体" w:hAnsi="宋体"/>
                <w:color w:val="000000"/>
                <w:kern w:val="0"/>
                <w:sz w:val="24"/>
                <w:szCs w:val="24"/>
              </w:rPr>
              <w:t>40分</w:t>
            </w:r>
          </w:p>
        </w:tc>
      </w:tr>
      <w:tr>
        <w:tblPrEx>
          <w:tblCellMar>
            <w:top w:w="0" w:type="dxa"/>
            <w:left w:w="108" w:type="dxa"/>
            <w:bottom w:w="0" w:type="dxa"/>
            <w:right w:w="108" w:type="dxa"/>
          </w:tblCellMar>
        </w:tblPrEx>
        <w:trPr>
          <w:trHeight w:val="1106" w:hRule="atLeast"/>
        </w:trPr>
        <w:tc>
          <w:tcPr>
            <w:tcW w:w="71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center"/>
              <w:rPr>
                <w:rFonts w:ascii="宋体" w:hAnsi="宋体"/>
                <w:color w:val="000000"/>
                <w:kern w:val="0"/>
                <w:sz w:val="24"/>
                <w:szCs w:val="24"/>
              </w:rPr>
            </w:pPr>
            <w:r>
              <w:rPr>
                <w:rFonts w:hint="eastAsia" w:ascii="宋体" w:hAnsi="宋体"/>
                <w:color w:val="000000"/>
                <w:kern w:val="0"/>
                <w:sz w:val="24"/>
                <w:szCs w:val="24"/>
              </w:rPr>
              <w:t>5</w:t>
            </w:r>
          </w:p>
        </w:tc>
        <w:tc>
          <w:tcPr>
            <w:tcW w:w="1417" w:type="dxa"/>
            <w:tcBorders>
              <w:top w:val="nil"/>
              <w:left w:val="nil"/>
              <w:bottom w:val="single" w:color="auto" w:sz="4" w:space="0"/>
              <w:right w:val="single" w:color="auto" w:sz="4" w:space="0"/>
            </w:tcBorders>
            <w:shd w:val="clear" w:color="auto" w:fill="auto"/>
            <w:vAlign w:val="center"/>
          </w:tcPr>
          <w:p>
            <w:pPr>
              <w:widowControl/>
              <w:spacing w:line="520" w:lineRule="exact"/>
              <w:jc w:val="center"/>
              <w:rPr>
                <w:rFonts w:ascii="宋体" w:hAnsi="宋体"/>
                <w:color w:val="000000"/>
                <w:kern w:val="0"/>
                <w:sz w:val="24"/>
                <w:szCs w:val="24"/>
              </w:rPr>
            </w:pPr>
            <w:r>
              <w:rPr>
                <w:rFonts w:hint="eastAsia" w:ascii="宋体" w:hAnsi="宋体"/>
                <w:color w:val="000000"/>
                <w:kern w:val="0"/>
                <w:sz w:val="24"/>
                <w:szCs w:val="24"/>
              </w:rPr>
              <w:t>学习平台</w:t>
            </w:r>
          </w:p>
          <w:p>
            <w:pPr>
              <w:widowControl/>
              <w:spacing w:line="520" w:lineRule="exact"/>
              <w:jc w:val="center"/>
              <w:rPr>
                <w:rFonts w:ascii="宋体" w:hAnsi="宋体"/>
                <w:color w:val="000000"/>
                <w:kern w:val="0"/>
                <w:sz w:val="24"/>
                <w:szCs w:val="24"/>
              </w:rPr>
            </w:pPr>
            <w:r>
              <w:rPr>
                <w:rFonts w:hint="eastAsia" w:ascii="宋体" w:hAnsi="宋体"/>
                <w:color w:val="000000"/>
                <w:kern w:val="0"/>
                <w:sz w:val="24"/>
                <w:szCs w:val="24"/>
              </w:rPr>
              <w:t>等级保护情况</w:t>
            </w:r>
          </w:p>
          <w:p>
            <w:pPr>
              <w:widowControl/>
              <w:spacing w:line="520" w:lineRule="exact"/>
              <w:jc w:val="center"/>
              <w:rPr>
                <w:rFonts w:ascii="宋体" w:hAnsi="宋体"/>
                <w:color w:val="000000"/>
                <w:kern w:val="0"/>
                <w:sz w:val="24"/>
                <w:szCs w:val="24"/>
              </w:rPr>
            </w:pPr>
            <w:r>
              <w:rPr>
                <w:rFonts w:hint="eastAsia" w:ascii="宋体" w:hAnsi="宋体"/>
                <w:color w:val="000000"/>
                <w:kern w:val="0"/>
                <w:sz w:val="24"/>
                <w:szCs w:val="24"/>
              </w:rPr>
              <w:t>（10分）</w:t>
            </w:r>
          </w:p>
        </w:tc>
        <w:tc>
          <w:tcPr>
            <w:tcW w:w="6379" w:type="dxa"/>
            <w:tcBorders>
              <w:top w:val="nil"/>
              <w:left w:val="nil"/>
              <w:bottom w:val="single" w:color="auto" w:sz="4" w:space="0"/>
              <w:right w:val="single" w:color="auto" w:sz="4" w:space="0"/>
            </w:tcBorders>
            <w:shd w:val="clear" w:color="auto" w:fill="auto"/>
          </w:tcPr>
          <w:p>
            <w:pPr>
              <w:widowControl/>
              <w:spacing w:line="520" w:lineRule="exact"/>
              <w:jc w:val="left"/>
              <w:rPr>
                <w:rFonts w:ascii="宋体" w:hAnsi="宋体"/>
                <w:color w:val="000000"/>
                <w:kern w:val="0"/>
                <w:sz w:val="24"/>
                <w:szCs w:val="24"/>
              </w:rPr>
            </w:pPr>
            <w:r>
              <w:rPr>
                <w:rFonts w:hint="eastAsia" w:ascii="宋体" w:hAnsi="宋体"/>
                <w:color w:val="000000"/>
                <w:kern w:val="0"/>
                <w:sz w:val="24"/>
                <w:szCs w:val="24"/>
              </w:rPr>
              <w:t>学习平台应符合网络安全等级保护相关要求：</w:t>
            </w:r>
          </w:p>
          <w:p>
            <w:pPr>
              <w:widowControl/>
              <w:spacing w:line="520" w:lineRule="exact"/>
              <w:jc w:val="left"/>
              <w:rPr>
                <w:rFonts w:ascii="宋体" w:hAnsi="宋体"/>
                <w:color w:val="000000"/>
                <w:kern w:val="0"/>
                <w:sz w:val="24"/>
                <w:szCs w:val="24"/>
              </w:rPr>
            </w:pPr>
            <w:r>
              <w:rPr>
                <w:rFonts w:hint="eastAsia" w:ascii="宋体" w:hAnsi="宋体"/>
                <w:color w:val="000000"/>
                <w:kern w:val="0"/>
                <w:sz w:val="24"/>
                <w:szCs w:val="24"/>
              </w:rPr>
              <w:t>1.学习平台完成三级及以上等级保护备案，且在有效期内完成年度等保测评，测评结果合格得10分；</w:t>
            </w:r>
          </w:p>
          <w:p>
            <w:pPr>
              <w:widowControl/>
              <w:spacing w:line="520" w:lineRule="exact"/>
              <w:jc w:val="left"/>
              <w:rPr>
                <w:rFonts w:ascii="宋体" w:hAnsi="宋体"/>
                <w:color w:val="000000"/>
                <w:kern w:val="0"/>
                <w:sz w:val="24"/>
                <w:szCs w:val="24"/>
              </w:rPr>
            </w:pPr>
            <w:r>
              <w:rPr>
                <w:rFonts w:hint="eastAsia" w:ascii="宋体" w:hAnsi="宋体"/>
                <w:color w:val="000000"/>
                <w:kern w:val="0"/>
                <w:sz w:val="24"/>
                <w:szCs w:val="24"/>
              </w:rPr>
              <w:t>2.学习平台完成二级等级保护备案，且在有效期内完成年度等保测评，测评结果合格得5分；</w:t>
            </w:r>
          </w:p>
          <w:p>
            <w:pPr>
              <w:widowControl/>
              <w:spacing w:line="520" w:lineRule="exact"/>
              <w:jc w:val="left"/>
              <w:rPr>
                <w:rFonts w:ascii="宋体" w:hAnsi="宋体"/>
                <w:color w:val="000000"/>
                <w:kern w:val="0"/>
                <w:sz w:val="24"/>
                <w:szCs w:val="24"/>
              </w:rPr>
            </w:pPr>
            <w:r>
              <w:rPr>
                <w:rFonts w:hint="eastAsia" w:ascii="宋体" w:hAnsi="宋体"/>
                <w:color w:val="000000"/>
                <w:kern w:val="0"/>
                <w:sz w:val="24"/>
                <w:szCs w:val="24"/>
              </w:rPr>
              <w:t>3.系统未开展等级保护备案、未定级，或为一级等保系统，无有效备案证明、测评报告过期、测评结果不合格，本项不得分。</w:t>
            </w:r>
          </w:p>
        </w:tc>
        <w:tc>
          <w:tcPr>
            <w:tcW w:w="1134" w:type="dxa"/>
            <w:tcBorders>
              <w:top w:val="nil"/>
              <w:left w:val="nil"/>
              <w:bottom w:val="single" w:color="auto" w:sz="4" w:space="0"/>
              <w:right w:val="single" w:color="auto" w:sz="4" w:space="0"/>
            </w:tcBorders>
            <w:shd w:val="clear" w:color="auto" w:fill="auto"/>
            <w:vAlign w:val="center"/>
          </w:tcPr>
          <w:p>
            <w:pPr>
              <w:widowControl/>
              <w:spacing w:line="520" w:lineRule="exact"/>
              <w:jc w:val="center"/>
              <w:rPr>
                <w:rFonts w:ascii="宋体" w:hAnsi="宋体"/>
                <w:color w:val="000000"/>
                <w:kern w:val="0"/>
                <w:sz w:val="24"/>
                <w:szCs w:val="24"/>
              </w:rPr>
            </w:pPr>
            <w:r>
              <w:rPr>
                <w:rFonts w:hint="eastAsia" w:ascii="宋体" w:hAnsi="宋体"/>
                <w:color w:val="000000"/>
                <w:kern w:val="0"/>
                <w:sz w:val="24"/>
                <w:szCs w:val="24"/>
              </w:rPr>
              <w:t>10分</w:t>
            </w:r>
          </w:p>
        </w:tc>
      </w:tr>
      <w:tr>
        <w:tblPrEx>
          <w:tblCellMar>
            <w:top w:w="0" w:type="dxa"/>
            <w:left w:w="108" w:type="dxa"/>
            <w:bottom w:w="0" w:type="dxa"/>
            <w:right w:w="108" w:type="dxa"/>
          </w:tblCellMar>
        </w:tblPrEx>
        <w:trPr>
          <w:trHeight w:val="1106" w:hRule="atLeast"/>
        </w:trPr>
        <w:tc>
          <w:tcPr>
            <w:tcW w:w="71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center"/>
              <w:rPr>
                <w:rFonts w:ascii="宋体" w:hAnsi="宋体"/>
                <w:color w:val="000000"/>
                <w:kern w:val="0"/>
                <w:sz w:val="24"/>
                <w:szCs w:val="24"/>
              </w:rPr>
            </w:pPr>
            <w:r>
              <w:rPr>
                <w:rFonts w:hint="eastAsia" w:ascii="宋体" w:hAnsi="宋体"/>
                <w:color w:val="000000"/>
                <w:kern w:val="0"/>
                <w:sz w:val="24"/>
                <w:szCs w:val="24"/>
              </w:rPr>
              <w:t>6</w:t>
            </w:r>
          </w:p>
        </w:tc>
        <w:tc>
          <w:tcPr>
            <w:tcW w:w="1417" w:type="dxa"/>
            <w:tcBorders>
              <w:top w:val="nil"/>
              <w:left w:val="nil"/>
              <w:bottom w:val="single" w:color="auto" w:sz="4" w:space="0"/>
              <w:right w:val="single" w:color="auto" w:sz="4" w:space="0"/>
            </w:tcBorders>
            <w:shd w:val="clear" w:color="auto" w:fill="auto"/>
            <w:vAlign w:val="center"/>
          </w:tcPr>
          <w:p>
            <w:pPr>
              <w:widowControl/>
              <w:spacing w:line="520" w:lineRule="exact"/>
              <w:jc w:val="center"/>
              <w:rPr>
                <w:rFonts w:ascii="宋体" w:hAnsi="宋体"/>
                <w:color w:val="000000"/>
                <w:kern w:val="0"/>
                <w:sz w:val="24"/>
                <w:szCs w:val="24"/>
              </w:rPr>
            </w:pPr>
            <w:r>
              <w:rPr>
                <w:rFonts w:hint="eastAsia" w:ascii="宋体" w:hAnsi="宋体"/>
                <w:color w:val="000000"/>
                <w:kern w:val="0"/>
                <w:sz w:val="24"/>
                <w:szCs w:val="24"/>
              </w:rPr>
              <w:t>制度保障</w:t>
            </w:r>
          </w:p>
          <w:p>
            <w:pPr>
              <w:widowControl/>
              <w:spacing w:line="520" w:lineRule="exact"/>
              <w:jc w:val="center"/>
              <w:rPr>
                <w:rFonts w:ascii="宋体" w:hAnsi="宋体"/>
                <w:color w:val="000000"/>
                <w:kern w:val="0"/>
                <w:sz w:val="24"/>
                <w:szCs w:val="24"/>
              </w:rPr>
            </w:pPr>
            <w:r>
              <w:rPr>
                <w:rFonts w:hint="eastAsia" w:ascii="宋体" w:hAnsi="宋体"/>
                <w:color w:val="000000"/>
                <w:kern w:val="0"/>
                <w:sz w:val="24"/>
                <w:szCs w:val="24"/>
              </w:rPr>
              <w:t>（10分）</w:t>
            </w:r>
          </w:p>
        </w:tc>
        <w:tc>
          <w:tcPr>
            <w:tcW w:w="6379" w:type="dxa"/>
            <w:tcBorders>
              <w:top w:val="nil"/>
              <w:left w:val="nil"/>
              <w:bottom w:val="single" w:color="auto" w:sz="4" w:space="0"/>
              <w:right w:val="single" w:color="auto" w:sz="4" w:space="0"/>
            </w:tcBorders>
            <w:shd w:val="clear" w:color="auto" w:fill="auto"/>
          </w:tcPr>
          <w:p>
            <w:pPr>
              <w:widowControl/>
              <w:spacing w:line="520" w:lineRule="exact"/>
              <w:jc w:val="left"/>
              <w:rPr>
                <w:rFonts w:ascii="宋体" w:hAnsi="宋体"/>
                <w:color w:val="000000"/>
                <w:kern w:val="0"/>
                <w:sz w:val="24"/>
                <w:szCs w:val="24"/>
              </w:rPr>
            </w:pPr>
            <w:r>
              <w:rPr>
                <w:rFonts w:hint="eastAsia" w:ascii="宋体" w:hAnsi="宋体"/>
                <w:color w:val="000000"/>
                <w:kern w:val="0"/>
                <w:sz w:val="24"/>
                <w:szCs w:val="24"/>
              </w:rPr>
              <w:t>制度保障，投标人应具备完善的培训管理制度、网络安全制度及其他相关制度。</w:t>
            </w:r>
          </w:p>
          <w:p>
            <w:pPr>
              <w:widowControl/>
              <w:spacing w:line="520" w:lineRule="exact"/>
              <w:jc w:val="left"/>
              <w:rPr>
                <w:rFonts w:ascii="宋体" w:hAnsi="宋体"/>
                <w:color w:val="000000"/>
                <w:kern w:val="0"/>
                <w:sz w:val="24"/>
                <w:szCs w:val="24"/>
              </w:rPr>
            </w:pPr>
            <w:r>
              <w:rPr>
                <w:rFonts w:hint="eastAsia" w:ascii="宋体" w:hAnsi="宋体"/>
                <w:color w:val="000000"/>
                <w:kern w:val="0"/>
                <w:sz w:val="24"/>
                <w:szCs w:val="24"/>
              </w:rPr>
              <w:t>1.制度类别全面、内容细致，可有效保障项目顺利执行，得8-10分；</w:t>
            </w:r>
          </w:p>
          <w:p>
            <w:pPr>
              <w:widowControl/>
              <w:spacing w:line="520" w:lineRule="exact"/>
              <w:jc w:val="left"/>
              <w:rPr>
                <w:rFonts w:ascii="宋体" w:hAnsi="宋体"/>
                <w:color w:val="000000"/>
                <w:kern w:val="0"/>
                <w:sz w:val="24"/>
                <w:szCs w:val="24"/>
              </w:rPr>
            </w:pPr>
            <w:r>
              <w:rPr>
                <w:rFonts w:hint="eastAsia" w:ascii="宋体" w:hAnsi="宋体"/>
                <w:color w:val="000000"/>
                <w:kern w:val="0"/>
                <w:sz w:val="24"/>
                <w:szCs w:val="24"/>
              </w:rPr>
              <w:t>2.制度类别较全面、内容较细致，可保障项目执行，得5-7分；</w:t>
            </w:r>
          </w:p>
          <w:p>
            <w:pPr>
              <w:widowControl/>
              <w:spacing w:line="520" w:lineRule="exact"/>
              <w:jc w:val="left"/>
              <w:rPr>
                <w:rFonts w:ascii="宋体" w:hAnsi="宋体"/>
                <w:color w:val="000000"/>
                <w:kern w:val="0"/>
                <w:sz w:val="24"/>
                <w:szCs w:val="24"/>
              </w:rPr>
            </w:pPr>
            <w:r>
              <w:rPr>
                <w:rFonts w:hint="eastAsia" w:ascii="宋体" w:hAnsi="宋体"/>
                <w:color w:val="000000"/>
                <w:kern w:val="0"/>
                <w:sz w:val="24"/>
                <w:szCs w:val="24"/>
              </w:rPr>
              <w:t>3.制度类别不全、内容一般，无法保障项目执行，得1-4分；</w:t>
            </w:r>
          </w:p>
          <w:p>
            <w:pPr>
              <w:widowControl/>
              <w:spacing w:line="520" w:lineRule="exact"/>
              <w:jc w:val="left"/>
              <w:rPr>
                <w:rFonts w:ascii="宋体" w:hAnsi="宋体"/>
                <w:color w:val="000000"/>
                <w:kern w:val="0"/>
                <w:sz w:val="24"/>
                <w:szCs w:val="24"/>
              </w:rPr>
            </w:pPr>
            <w:r>
              <w:rPr>
                <w:rFonts w:hint="eastAsia" w:ascii="宋体" w:hAnsi="宋体"/>
                <w:color w:val="000000"/>
                <w:kern w:val="0"/>
                <w:sz w:val="24"/>
                <w:szCs w:val="24"/>
              </w:rPr>
              <w:t>4.未提供制度，不得分。</w:t>
            </w:r>
          </w:p>
        </w:tc>
        <w:tc>
          <w:tcPr>
            <w:tcW w:w="1134" w:type="dxa"/>
            <w:tcBorders>
              <w:top w:val="nil"/>
              <w:left w:val="nil"/>
              <w:bottom w:val="single" w:color="auto" w:sz="4" w:space="0"/>
              <w:right w:val="single" w:color="auto" w:sz="4" w:space="0"/>
            </w:tcBorders>
            <w:shd w:val="clear" w:color="auto" w:fill="auto"/>
            <w:vAlign w:val="center"/>
          </w:tcPr>
          <w:p>
            <w:pPr>
              <w:widowControl/>
              <w:spacing w:line="520" w:lineRule="exact"/>
              <w:jc w:val="center"/>
              <w:rPr>
                <w:rFonts w:ascii="宋体" w:hAnsi="宋体"/>
                <w:color w:val="000000"/>
                <w:kern w:val="0"/>
                <w:sz w:val="24"/>
                <w:szCs w:val="24"/>
              </w:rPr>
            </w:pPr>
            <w:r>
              <w:rPr>
                <w:rFonts w:ascii="宋体" w:hAnsi="宋体"/>
                <w:color w:val="000000"/>
                <w:kern w:val="0"/>
                <w:sz w:val="24"/>
                <w:szCs w:val="24"/>
              </w:rPr>
              <w:t>10分</w:t>
            </w:r>
          </w:p>
        </w:tc>
      </w:tr>
      <w:tr>
        <w:tblPrEx>
          <w:tblCellMar>
            <w:top w:w="0" w:type="dxa"/>
            <w:left w:w="108" w:type="dxa"/>
            <w:bottom w:w="0" w:type="dxa"/>
            <w:right w:w="108" w:type="dxa"/>
          </w:tblCellMar>
        </w:tblPrEx>
        <w:trPr>
          <w:trHeight w:val="556" w:hRule="atLeast"/>
        </w:trPr>
        <w:tc>
          <w:tcPr>
            <w:tcW w:w="21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20" w:lineRule="exact"/>
              <w:jc w:val="center"/>
              <w:rPr>
                <w:rFonts w:ascii="宋体" w:hAnsi="宋体"/>
                <w:color w:val="000000"/>
                <w:kern w:val="0"/>
                <w:sz w:val="24"/>
                <w:szCs w:val="24"/>
              </w:rPr>
            </w:pPr>
            <w:r>
              <w:rPr>
                <w:rFonts w:hint="eastAsia" w:ascii="宋体" w:hAnsi="宋体"/>
                <w:color w:val="000000"/>
                <w:kern w:val="0"/>
                <w:sz w:val="24"/>
                <w:szCs w:val="24"/>
              </w:rPr>
              <w:t>合计</w:t>
            </w:r>
          </w:p>
        </w:tc>
        <w:tc>
          <w:tcPr>
            <w:tcW w:w="6379" w:type="dxa"/>
            <w:tcBorders>
              <w:top w:val="nil"/>
              <w:left w:val="nil"/>
              <w:bottom w:val="single" w:color="auto" w:sz="4" w:space="0"/>
              <w:right w:val="single" w:color="auto" w:sz="4" w:space="0"/>
            </w:tcBorders>
            <w:shd w:val="clear" w:color="auto" w:fill="auto"/>
            <w:vAlign w:val="center"/>
          </w:tcPr>
          <w:p>
            <w:pPr>
              <w:widowControl/>
              <w:spacing w:line="520" w:lineRule="exact"/>
              <w:jc w:val="left"/>
              <w:rPr>
                <w:rFonts w:ascii="宋体" w:hAnsi="宋体"/>
                <w:color w:val="000000"/>
                <w:kern w:val="0"/>
                <w:sz w:val="24"/>
                <w:szCs w:val="24"/>
              </w:rPr>
            </w:pPr>
            <w:r>
              <w:rPr>
                <w:rFonts w:hint="eastAsia" w:ascii="宋体" w:hAnsi="宋体"/>
                <w:color w:val="000000"/>
                <w:kern w:val="0"/>
                <w:sz w:val="24"/>
                <w:szCs w:val="24"/>
              </w:rPr>
              <w:t>　</w:t>
            </w:r>
          </w:p>
        </w:tc>
        <w:tc>
          <w:tcPr>
            <w:tcW w:w="1134" w:type="dxa"/>
            <w:tcBorders>
              <w:top w:val="nil"/>
              <w:left w:val="nil"/>
              <w:bottom w:val="single" w:color="auto" w:sz="4" w:space="0"/>
              <w:right w:val="single" w:color="auto" w:sz="4" w:space="0"/>
            </w:tcBorders>
            <w:shd w:val="clear" w:color="auto" w:fill="auto"/>
            <w:vAlign w:val="center"/>
          </w:tcPr>
          <w:p>
            <w:pPr>
              <w:widowControl/>
              <w:spacing w:line="520" w:lineRule="exact"/>
              <w:jc w:val="center"/>
              <w:rPr>
                <w:rFonts w:ascii="宋体" w:hAnsi="宋体"/>
                <w:color w:val="000000"/>
                <w:kern w:val="0"/>
                <w:sz w:val="24"/>
                <w:szCs w:val="24"/>
              </w:rPr>
            </w:pPr>
            <w:r>
              <w:rPr>
                <w:rFonts w:ascii="宋体" w:hAnsi="宋体"/>
                <w:color w:val="000000"/>
                <w:kern w:val="0"/>
                <w:sz w:val="24"/>
                <w:szCs w:val="24"/>
              </w:rPr>
              <w:t>100分</w:t>
            </w:r>
          </w:p>
        </w:tc>
      </w:tr>
    </w:tbl>
    <w:p>
      <w:pPr>
        <w:widowControl/>
        <w:spacing w:line="520" w:lineRule="exact"/>
        <w:ind w:firstLine="140" w:firstLineChars="44"/>
        <w:rPr>
          <w:rFonts w:ascii="黑体" w:hAnsi="黑体" w:eastAsia="黑体"/>
          <w:kern w:val="0"/>
          <w:sz w:val="32"/>
          <w:szCs w:val="32"/>
        </w:rPr>
      </w:pPr>
      <w:r>
        <w:rPr>
          <w:rFonts w:hint="eastAsia" w:ascii="黑体" w:hAnsi="黑体" w:eastAsia="黑体"/>
          <w:kern w:val="0"/>
          <w:sz w:val="32"/>
          <w:szCs w:val="32"/>
        </w:rPr>
        <w:t xml:space="preserve">   五、申报和评审事宜</w:t>
      </w:r>
    </w:p>
    <w:p>
      <w:pPr>
        <w:widowControl/>
        <w:snapToGrid w:val="0"/>
        <w:spacing w:line="520" w:lineRule="exact"/>
        <w:ind w:right="-143" w:rightChars="-68" w:firstLine="640" w:firstLineChars="200"/>
        <w:jc w:val="left"/>
        <w:rPr>
          <w:rFonts w:ascii="CESI仿宋-GB2312" w:hAnsi="CESI仿宋-GB2312" w:eastAsia="CESI仿宋-GB2312" w:cs="CESI仿宋-GB2312"/>
          <w:kern w:val="0"/>
          <w:sz w:val="32"/>
          <w:szCs w:val="32"/>
        </w:rPr>
      </w:pPr>
      <w:r>
        <w:rPr>
          <w:rFonts w:hint="eastAsia" w:ascii="CESI仿宋-GB2312" w:hAnsi="CESI仿宋-GB2312" w:eastAsia="CESI仿宋-GB2312" w:cs="CESI仿宋-GB2312"/>
          <w:kern w:val="0"/>
          <w:sz w:val="32"/>
          <w:szCs w:val="32"/>
        </w:rPr>
        <w:t>（一）遴选文件获取期限：2026年7月28日—2026年8月3日。</w:t>
      </w:r>
    </w:p>
    <w:p>
      <w:pPr>
        <w:widowControl/>
        <w:snapToGrid w:val="0"/>
        <w:spacing w:line="520" w:lineRule="exact"/>
        <w:ind w:right="-143" w:rightChars="-68" w:firstLine="640" w:firstLineChars="200"/>
        <w:jc w:val="left"/>
        <w:rPr>
          <w:rFonts w:ascii="CESI仿宋-GB2312" w:hAnsi="CESI仿宋-GB2312" w:eastAsia="CESI仿宋-GB2312" w:cs="CESI仿宋-GB2312"/>
          <w:kern w:val="0"/>
          <w:sz w:val="32"/>
          <w:szCs w:val="32"/>
        </w:rPr>
      </w:pPr>
      <w:r>
        <w:rPr>
          <w:rFonts w:hint="eastAsia" w:ascii="CESI仿宋-GB2312" w:hAnsi="CESI仿宋-GB2312" w:eastAsia="CESI仿宋-GB2312" w:cs="CESI仿宋-GB2312"/>
          <w:kern w:val="0"/>
          <w:sz w:val="32"/>
          <w:szCs w:val="32"/>
        </w:rPr>
        <w:t>（二）提交材料：根据“北京市卫生健康委员会会计核算服务中心关于行业财经服务-会计人员继续教育服务项目遴选公告”中的遴选文件提交响应文件。响应文件应对照遴选文件要求突出重点、简明扼要。</w:t>
      </w:r>
    </w:p>
    <w:p>
      <w:pPr>
        <w:widowControl/>
        <w:snapToGrid w:val="0"/>
        <w:spacing w:line="520" w:lineRule="exact"/>
        <w:ind w:right="-143" w:rightChars="-68" w:firstLine="640" w:firstLineChars="200"/>
        <w:jc w:val="left"/>
        <w:rPr>
          <w:rFonts w:ascii="CESI仿宋-GB2312" w:hAnsi="CESI仿宋-GB2312" w:eastAsia="CESI仿宋-GB2312" w:cs="CESI仿宋-GB2312"/>
          <w:kern w:val="0"/>
          <w:sz w:val="32"/>
          <w:szCs w:val="32"/>
        </w:rPr>
      </w:pPr>
      <w:r>
        <w:rPr>
          <w:rFonts w:hint="eastAsia" w:ascii="CESI仿宋-GB2312" w:hAnsi="CESI仿宋-GB2312" w:eastAsia="CESI仿宋-GB2312" w:cs="CESI仿宋-GB2312"/>
          <w:kern w:val="0"/>
          <w:sz w:val="32"/>
          <w:szCs w:val="32"/>
        </w:rPr>
        <w:t>（三）响应文件递交时间及方式：响应人应在2026年8月3日下午17:00前将响应文件（含纸质文件及电子扫描件，电子扫描件刻录光盘随纸质文件一并提交）邮寄或送至北京市卫生健康委员会会计核算服务中心，邮寄地址：北京市通州区达济街6号院1号楼。</w:t>
      </w:r>
    </w:p>
    <w:p>
      <w:pPr>
        <w:widowControl/>
        <w:snapToGrid w:val="0"/>
        <w:spacing w:line="520" w:lineRule="exact"/>
        <w:ind w:right="-143" w:rightChars="-68" w:firstLine="640" w:firstLineChars="200"/>
        <w:jc w:val="left"/>
        <w:rPr>
          <w:rFonts w:ascii="CESI仿宋-GB2312" w:hAnsi="CESI仿宋-GB2312" w:eastAsia="CESI仿宋-GB2312" w:cs="CESI仿宋-GB2312"/>
          <w:kern w:val="0"/>
          <w:sz w:val="32"/>
          <w:szCs w:val="32"/>
        </w:rPr>
      </w:pPr>
      <w:r>
        <w:rPr>
          <w:rFonts w:hint="eastAsia" w:ascii="CESI仿宋-GB2312" w:hAnsi="CESI仿宋-GB2312" w:eastAsia="CESI仿宋-GB2312" w:cs="CESI仿宋-GB2312"/>
          <w:kern w:val="0"/>
          <w:sz w:val="32"/>
          <w:szCs w:val="32"/>
        </w:rPr>
        <w:t>（四）评审方式：采购人组织专家对响应人提交的响应文件按照遴选文件中评分标准进行综合评审，并对评审结果进行公示。</w:t>
      </w:r>
    </w:p>
    <w:p>
      <w:pPr>
        <w:widowControl/>
        <w:snapToGrid w:val="0"/>
        <w:spacing w:line="520" w:lineRule="exact"/>
        <w:ind w:right="-143" w:rightChars="-68" w:firstLine="640" w:firstLineChars="200"/>
        <w:jc w:val="left"/>
        <w:rPr>
          <w:rFonts w:ascii="CESI仿宋-GB2312" w:hAnsi="CESI仿宋-GB2312" w:eastAsia="CESI仿宋-GB2312" w:cs="CESI仿宋-GB2312"/>
          <w:kern w:val="0"/>
          <w:sz w:val="32"/>
          <w:szCs w:val="32"/>
        </w:rPr>
      </w:pPr>
      <w:r>
        <w:rPr>
          <w:rFonts w:hint="eastAsia" w:ascii="CESI仿宋-GB2312" w:hAnsi="CESI仿宋-GB2312" w:eastAsia="CESI仿宋-GB2312" w:cs="CESI仿宋-GB2312"/>
          <w:kern w:val="0"/>
          <w:sz w:val="32"/>
          <w:szCs w:val="32"/>
        </w:rPr>
        <w:t>（五）结果公示：评审工作结束后，将对评审结果在北京市卫生健康委员会会计核算服务中心门户网站予以公示。</w:t>
      </w:r>
    </w:p>
    <w:p>
      <w:pPr>
        <w:widowControl/>
        <w:snapToGrid w:val="0"/>
        <w:spacing w:line="520" w:lineRule="exact"/>
        <w:ind w:right="-143" w:rightChars="-68" w:firstLine="640" w:firstLineChars="200"/>
        <w:jc w:val="left"/>
        <w:rPr>
          <w:rFonts w:ascii="CESI仿宋-GB2312" w:hAnsi="CESI仿宋-GB2312" w:eastAsia="仿宋_GB2312" w:cs="CESI仿宋-GB2312"/>
          <w:kern w:val="0"/>
          <w:sz w:val="32"/>
          <w:szCs w:val="32"/>
        </w:rPr>
      </w:pPr>
      <w:r>
        <w:rPr>
          <w:rFonts w:hint="eastAsia" w:ascii="CESI仿宋-GB2312" w:hAnsi="CESI仿宋-GB2312" w:eastAsia="CESI仿宋-GB2312" w:cs="CESI仿宋-GB2312"/>
          <w:kern w:val="0"/>
          <w:sz w:val="32"/>
          <w:szCs w:val="32"/>
        </w:rPr>
        <w:t>（六）评审</w:t>
      </w:r>
      <w:r>
        <w:rPr>
          <w:rFonts w:hint="eastAsia" w:ascii="仿宋_GB2312" w:hAnsi="宋体" w:eastAsia="仿宋_GB2312"/>
          <w:kern w:val="0"/>
          <w:sz w:val="32"/>
          <w:szCs w:val="32"/>
        </w:rPr>
        <w:t>结果限本项目三年内使用（2026年-2028年）。</w:t>
      </w:r>
    </w:p>
    <w:p>
      <w:pPr>
        <w:widowControl/>
        <w:spacing w:line="520" w:lineRule="exact"/>
        <w:ind w:firstLine="640" w:firstLineChars="200"/>
        <w:rPr>
          <w:rFonts w:ascii="黑体" w:hAnsi="黑体" w:eastAsia="黑体"/>
          <w:kern w:val="0"/>
          <w:sz w:val="32"/>
          <w:szCs w:val="32"/>
        </w:rPr>
      </w:pPr>
      <w:r>
        <w:rPr>
          <w:rFonts w:hint="eastAsia" w:ascii="黑体" w:hAnsi="黑体" w:eastAsia="黑体"/>
          <w:kern w:val="0"/>
          <w:sz w:val="32"/>
          <w:szCs w:val="32"/>
        </w:rPr>
        <w:t>六、项目经费</w:t>
      </w:r>
    </w:p>
    <w:p>
      <w:pPr>
        <w:widowControl/>
        <w:spacing w:line="520" w:lineRule="exact"/>
        <w:ind w:firstLine="640" w:firstLineChars="200"/>
        <w:rPr>
          <w:rFonts w:ascii="CESI仿宋-GB2312" w:hAnsi="CESI仿宋-GB2312" w:eastAsia="CESI仿宋-GB2312" w:cs="CESI仿宋-GB2312"/>
          <w:kern w:val="0"/>
          <w:sz w:val="32"/>
          <w:szCs w:val="32"/>
        </w:rPr>
      </w:pPr>
      <w:r>
        <w:rPr>
          <w:rFonts w:hint="eastAsia" w:ascii="CESI仿宋-GB2312" w:hAnsi="CESI仿宋-GB2312" w:eastAsia="CESI仿宋-GB2312" w:cs="CESI仿宋-GB2312"/>
          <w:kern w:val="0"/>
          <w:sz w:val="32"/>
          <w:szCs w:val="32"/>
        </w:rPr>
        <w:t>本年度项目预算经费15.915万元。</w:t>
      </w:r>
    </w:p>
    <w:p>
      <w:pPr>
        <w:widowControl/>
        <w:spacing w:line="520" w:lineRule="exact"/>
        <w:ind w:firstLine="640" w:firstLineChars="200"/>
        <w:rPr>
          <w:rFonts w:ascii="黑体" w:hAnsi="黑体" w:eastAsia="黑体"/>
          <w:kern w:val="0"/>
          <w:sz w:val="32"/>
          <w:szCs w:val="32"/>
        </w:rPr>
      </w:pPr>
      <w:r>
        <w:rPr>
          <w:rFonts w:hint="eastAsia" w:ascii="黑体" w:hAnsi="黑体" w:eastAsia="黑体"/>
          <w:kern w:val="0"/>
          <w:sz w:val="32"/>
          <w:szCs w:val="32"/>
        </w:rPr>
        <w:t>七、联系方式</w:t>
      </w:r>
    </w:p>
    <w:p>
      <w:pPr>
        <w:widowControl/>
        <w:spacing w:line="520" w:lineRule="exact"/>
        <w:ind w:firstLine="640" w:firstLineChars="200"/>
        <w:rPr>
          <w:rFonts w:ascii="CESI仿宋-GB2312" w:hAnsi="CESI仿宋-GB2312" w:eastAsia="CESI仿宋-GB2312" w:cs="CESI仿宋-GB2312"/>
          <w:kern w:val="0"/>
          <w:sz w:val="32"/>
          <w:szCs w:val="32"/>
        </w:rPr>
      </w:pPr>
      <w:r>
        <w:rPr>
          <w:rFonts w:hint="eastAsia" w:ascii="CESI仿宋-GB2312" w:hAnsi="CESI仿宋-GB2312" w:eastAsia="CESI仿宋-GB2312" w:cs="CESI仿宋-GB2312"/>
          <w:kern w:val="0"/>
          <w:sz w:val="32"/>
          <w:szCs w:val="32"/>
        </w:rPr>
        <w:t>（一）采购人信息</w:t>
      </w:r>
    </w:p>
    <w:p>
      <w:pPr>
        <w:widowControl/>
        <w:spacing w:line="520" w:lineRule="exact"/>
        <w:ind w:firstLine="640" w:firstLineChars="200"/>
        <w:rPr>
          <w:rFonts w:ascii="CESI仿宋-GB2312" w:hAnsi="CESI仿宋-GB2312" w:eastAsia="CESI仿宋-GB2312" w:cs="CESI仿宋-GB2312"/>
          <w:kern w:val="0"/>
          <w:sz w:val="32"/>
          <w:szCs w:val="32"/>
        </w:rPr>
      </w:pPr>
      <w:r>
        <w:rPr>
          <w:rFonts w:hint="eastAsia" w:ascii="CESI仿宋-GB2312" w:hAnsi="CESI仿宋-GB2312" w:eastAsia="CESI仿宋-GB2312" w:cs="CESI仿宋-GB2312"/>
          <w:kern w:val="0"/>
          <w:sz w:val="32"/>
          <w:szCs w:val="32"/>
        </w:rPr>
        <w:t>名  称：北京市卫生健康委员会会计核算服务中心</w:t>
      </w:r>
    </w:p>
    <w:p>
      <w:pPr>
        <w:widowControl/>
        <w:spacing w:line="520" w:lineRule="exact"/>
        <w:ind w:firstLine="640" w:firstLineChars="200"/>
        <w:rPr>
          <w:rFonts w:ascii="CESI仿宋-GB2312" w:hAnsi="CESI仿宋-GB2312" w:eastAsia="CESI仿宋-GB2312" w:cs="CESI仿宋-GB2312"/>
          <w:kern w:val="0"/>
          <w:sz w:val="32"/>
          <w:szCs w:val="32"/>
        </w:rPr>
      </w:pPr>
      <w:r>
        <w:rPr>
          <w:rFonts w:hint="eastAsia" w:ascii="CESI仿宋-GB2312" w:hAnsi="CESI仿宋-GB2312" w:eastAsia="CESI仿宋-GB2312" w:cs="CESI仿宋-GB2312"/>
          <w:kern w:val="0"/>
          <w:sz w:val="32"/>
          <w:szCs w:val="32"/>
        </w:rPr>
        <w:t>地  址：北京市通州区达济街6号院1号楼</w:t>
      </w:r>
    </w:p>
    <w:p>
      <w:pPr>
        <w:widowControl/>
        <w:spacing w:line="520" w:lineRule="exact"/>
        <w:ind w:firstLine="640" w:firstLineChars="200"/>
        <w:rPr>
          <w:rFonts w:ascii="CESI仿宋-GB2312" w:hAnsi="CESI仿宋-GB2312" w:eastAsia="CESI仿宋-GB2312" w:cs="CESI仿宋-GB2312"/>
          <w:kern w:val="0"/>
          <w:sz w:val="32"/>
          <w:szCs w:val="32"/>
        </w:rPr>
      </w:pPr>
      <w:r>
        <w:rPr>
          <w:rFonts w:hint="eastAsia" w:ascii="CESI仿宋-GB2312" w:hAnsi="CESI仿宋-GB2312" w:eastAsia="CESI仿宋-GB2312" w:cs="CESI仿宋-GB2312"/>
          <w:kern w:val="0"/>
          <w:sz w:val="32"/>
          <w:szCs w:val="32"/>
        </w:rPr>
        <w:t>联系人：李老师、邱老师</w:t>
      </w:r>
    </w:p>
    <w:p>
      <w:pPr>
        <w:widowControl/>
        <w:spacing w:line="520" w:lineRule="exact"/>
        <w:ind w:firstLine="640" w:firstLineChars="200"/>
        <w:rPr>
          <w:rFonts w:ascii="CESI仿宋-GB2312" w:hAnsi="CESI仿宋-GB2312" w:eastAsia="CESI仿宋-GB2312" w:cs="CESI仿宋-GB2312"/>
          <w:kern w:val="0"/>
          <w:sz w:val="32"/>
          <w:szCs w:val="32"/>
        </w:rPr>
      </w:pPr>
      <w:r>
        <w:rPr>
          <w:rFonts w:hint="eastAsia" w:ascii="CESI仿宋-GB2312" w:hAnsi="CESI仿宋-GB2312" w:eastAsia="CESI仿宋-GB2312" w:cs="CESI仿宋-GB2312"/>
          <w:kern w:val="0"/>
          <w:sz w:val="32"/>
          <w:szCs w:val="32"/>
        </w:rPr>
        <w:t>联系电话：010-55532251</w:t>
      </w:r>
    </w:p>
    <w:p>
      <w:pPr>
        <w:widowControl/>
        <w:spacing w:line="520" w:lineRule="exact"/>
        <w:ind w:firstLine="640" w:firstLineChars="200"/>
        <w:rPr>
          <w:rFonts w:ascii="仿宋_GB2312" w:hAnsi="微软雅黑" w:eastAsia="仿宋_GB2312"/>
          <w:kern w:val="0"/>
          <w:sz w:val="32"/>
          <w:szCs w:val="32"/>
        </w:rPr>
      </w:pPr>
    </w:p>
    <w:p>
      <w:pPr>
        <w:widowControl/>
        <w:spacing w:line="520" w:lineRule="exact"/>
        <w:ind w:firstLine="640" w:firstLineChars="200"/>
        <w:rPr>
          <w:rFonts w:ascii="仿宋_GB2312" w:hAnsi="微软雅黑" w:eastAsia="仿宋_GB2312"/>
          <w:kern w:val="0"/>
          <w:sz w:val="32"/>
          <w:szCs w:val="32"/>
        </w:rPr>
      </w:pPr>
      <w:r>
        <w:rPr>
          <w:rFonts w:hint="eastAsia" w:ascii="仿宋_GB2312" w:hAnsi="微软雅黑" w:eastAsia="仿宋_GB2312"/>
          <w:kern w:val="0"/>
          <w:sz w:val="32"/>
          <w:szCs w:val="32"/>
        </w:rPr>
        <w:t>附件：1.项目承办申请书</w:t>
      </w:r>
    </w:p>
    <w:p>
      <w:pPr>
        <w:widowControl/>
        <w:spacing w:line="520" w:lineRule="exact"/>
        <w:ind w:firstLine="1600" w:firstLineChars="500"/>
        <w:rPr>
          <w:rFonts w:ascii="仿宋_GB2312" w:hAnsi="微软雅黑" w:eastAsia="仿宋_GB2312"/>
          <w:kern w:val="0"/>
          <w:sz w:val="32"/>
          <w:szCs w:val="32"/>
        </w:rPr>
      </w:pPr>
      <w:r>
        <w:rPr>
          <w:rFonts w:ascii="仿宋_GB2312" w:hAnsi="微软雅黑" w:eastAsia="仿宋_GB2312"/>
          <w:kern w:val="0"/>
          <w:sz w:val="32"/>
          <w:szCs w:val="32"/>
        </w:rPr>
        <w:t>2</w:t>
      </w:r>
      <w:r>
        <w:rPr>
          <w:rFonts w:hint="eastAsia" w:ascii="仿宋_GB2312" w:hAnsi="微软雅黑" w:eastAsia="仿宋_GB2312"/>
          <w:kern w:val="0"/>
          <w:sz w:val="32"/>
          <w:szCs w:val="32"/>
        </w:rPr>
        <w:t>.资料清单及要求</w:t>
      </w:r>
    </w:p>
    <w:p>
      <w:pPr>
        <w:rPr>
          <w:rFonts w:ascii="黑体" w:hAnsi="黑体" w:eastAsia="黑体" w:cs="仿宋_GB2312"/>
          <w:sz w:val="32"/>
          <w:szCs w:val="32"/>
        </w:rPr>
      </w:pPr>
    </w:p>
    <w:p>
      <w:pPr>
        <w:rPr>
          <w:rFonts w:ascii="黑体" w:hAnsi="黑体" w:eastAsia="黑体" w:cs="仿宋_GB2312"/>
          <w:sz w:val="32"/>
          <w:szCs w:val="32"/>
        </w:rPr>
      </w:pPr>
    </w:p>
    <w:p>
      <w:pPr>
        <w:rPr>
          <w:rFonts w:ascii="黑体" w:hAnsi="黑体" w:eastAsia="黑体" w:cs="仿宋_GB2312"/>
          <w:sz w:val="32"/>
          <w:szCs w:val="32"/>
        </w:rPr>
      </w:pPr>
    </w:p>
    <w:p>
      <w:pPr>
        <w:rPr>
          <w:rFonts w:ascii="黑体" w:hAnsi="黑体" w:eastAsia="黑体" w:cs="仿宋_GB2312"/>
          <w:sz w:val="32"/>
          <w:szCs w:val="32"/>
        </w:rPr>
      </w:pPr>
    </w:p>
    <w:p>
      <w:pPr>
        <w:rPr>
          <w:rFonts w:ascii="黑体" w:hAnsi="黑体" w:eastAsia="黑体" w:cs="仿宋_GB2312"/>
          <w:sz w:val="32"/>
          <w:szCs w:val="32"/>
        </w:rPr>
      </w:pPr>
    </w:p>
    <w:p>
      <w:pPr>
        <w:rPr>
          <w:rFonts w:ascii="黑体" w:hAnsi="黑体" w:eastAsia="黑体" w:cs="仿宋_GB2312"/>
          <w:sz w:val="32"/>
          <w:szCs w:val="32"/>
        </w:rPr>
      </w:pPr>
    </w:p>
    <w:p>
      <w:pPr>
        <w:rPr>
          <w:rFonts w:ascii="黑体" w:hAnsi="黑体" w:eastAsia="黑体" w:cs="仿宋_GB2312"/>
          <w:sz w:val="32"/>
          <w:szCs w:val="32"/>
        </w:rPr>
      </w:pPr>
    </w:p>
    <w:p>
      <w:pPr>
        <w:rPr>
          <w:rFonts w:ascii="黑体" w:hAnsi="黑体" w:eastAsia="黑体" w:cs="仿宋_GB2312"/>
          <w:sz w:val="32"/>
          <w:szCs w:val="32"/>
        </w:rPr>
      </w:pPr>
    </w:p>
    <w:p>
      <w:pPr>
        <w:rPr>
          <w:rFonts w:ascii="黑体" w:hAnsi="黑体" w:eastAsia="黑体" w:cs="仿宋_GB2312"/>
          <w:sz w:val="32"/>
          <w:szCs w:val="32"/>
        </w:rPr>
      </w:pPr>
    </w:p>
    <w:p>
      <w:pPr>
        <w:rPr>
          <w:rFonts w:ascii="黑体" w:hAnsi="黑体" w:eastAsia="黑体" w:cs="仿宋_GB2312"/>
          <w:sz w:val="32"/>
          <w:szCs w:val="32"/>
        </w:rPr>
      </w:pPr>
    </w:p>
    <w:p>
      <w:pPr>
        <w:rPr>
          <w:rFonts w:ascii="黑体" w:hAnsi="黑体" w:eastAsia="黑体" w:cs="仿宋_GB2312"/>
          <w:sz w:val="32"/>
          <w:szCs w:val="32"/>
        </w:rPr>
      </w:pPr>
    </w:p>
    <w:p>
      <w:pPr>
        <w:rPr>
          <w:rFonts w:ascii="黑体" w:hAnsi="黑体" w:eastAsia="黑体" w:cs="仿宋_GB2312"/>
          <w:sz w:val="32"/>
          <w:szCs w:val="32"/>
        </w:rPr>
      </w:pPr>
    </w:p>
    <w:p>
      <w:pPr>
        <w:rPr>
          <w:rFonts w:ascii="黑体" w:hAnsi="黑体" w:eastAsia="黑体" w:cs="仿宋_GB2312"/>
          <w:sz w:val="32"/>
          <w:szCs w:val="32"/>
        </w:rPr>
      </w:pPr>
    </w:p>
    <w:p>
      <w:pPr>
        <w:rPr>
          <w:rFonts w:ascii="黑体" w:hAnsi="黑体" w:eastAsia="黑体" w:cs="仿宋_GB2312"/>
          <w:sz w:val="32"/>
          <w:szCs w:val="32"/>
        </w:rPr>
      </w:pPr>
    </w:p>
    <w:p>
      <w:pPr>
        <w:rPr>
          <w:rFonts w:ascii="黑体" w:hAnsi="黑体" w:eastAsia="黑体" w:cs="仿宋_GB2312"/>
          <w:sz w:val="32"/>
          <w:szCs w:val="32"/>
        </w:rPr>
      </w:pPr>
    </w:p>
    <w:p>
      <w:pPr>
        <w:rPr>
          <w:rFonts w:ascii="黑体" w:hAnsi="黑体" w:eastAsia="黑体" w:cs="仿宋_GB2312"/>
          <w:sz w:val="32"/>
          <w:szCs w:val="32"/>
        </w:rPr>
      </w:pPr>
    </w:p>
    <w:p>
      <w:pPr>
        <w:rPr>
          <w:rFonts w:ascii="黑体" w:hAnsi="黑体" w:eastAsia="黑体" w:cs="仿宋_GB2312"/>
          <w:sz w:val="32"/>
          <w:szCs w:val="32"/>
        </w:rPr>
      </w:pPr>
    </w:p>
    <w:p>
      <w:pPr>
        <w:rPr>
          <w:rFonts w:ascii="黑体" w:hAnsi="黑体" w:eastAsia="黑体" w:cs="仿宋_GB2312"/>
          <w:sz w:val="32"/>
          <w:szCs w:val="32"/>
        </w:rPr>
      </w:pPr>
      <w:r>
        <w:rPr>
          <w:rFonts w:hint="eastAsia" w:ascii="黑体" w:hAnsi="黑体" w:eastAsia="黑体" w:cs="仿宋_GB2312"/>
          <w:sz w:val="32"/>
          <w:szCs w:val="32"/>
        </w:rPr>
        <w:t>附件</w:t>
      </w:r>
      <w:r>
        <w:rPr>
          <w:rFonts w:ascii="黑体" w:hAnsi="黑体" w:eastAsia="黑体" w:cs="仿宋_GB2312"/>
          <w:sz w:val="32"/>
          <w:szCs w:val="32"/>
        </w:rPr>
        <w:t>:1</w:t>
      </w:r>
    </w:p>
    <w:p>
      <w:pPr>
        <w:jc w:val="center"/>
        <w:rPr>
          <w:rFonts w:ascii="方正小标宋简体" w:hAnsi="宋体" w:eastAsia="方正小标宋简体"/>
          <w:bCs/>
          <w:sz w:val="40"/>
          <w:szCs w:val="36"/>
        </w:rPr>
      </w:pPr>
      <w:r>
        <w:rPr>
          <w:rFonts w:hint="eastAsia" w:ascii="方正小标宋简体" w:hAnsi="宋体" w:eastAsia="方正小标宋简体"/>
          <w:bCs/>
          <w:sz w:val="40"/>
          <w:szCs w:val="36"/>
        </w:rPr>
        <w:t>北京市卫生健康委员会会计核算服务中心</w:t>
      </w:r>
    </w:p>
    <w:p>
      <w:pPr>
        <w:jc w:val="center"/>
        <w:rPr>
          <w:rFonts w:ascii="方正小标宋简体" w:hAnsi="宋体" w:eastAsia="方正小标宋简体"/>
          <w:bCs/>
          <w:sz w:val="40"/>
          <w:szCs w:val="36"/>
        </w:rPr>
      </w:pPr>
      <w:r>
        <w:rPr>
          <w:rFonts w:hint="eastAsia" w:ascii="方正小标宋简体" w:hAnsi="宋体" w:eastAsia="方正小标宋简体"/>
          <w:bCs/>
          <w:sz w:val="40"/>
          <w:szCs w:val="36"/>
        </w:rPr>
        <w:t>项目承办申请书</w:t>
      </w:r>
    </w:p>
    <w:p>
      <w:pPr>
        <w:spacing w:before="156" w:beforeLines="50"/>
        <w:rPr>
          <w:rFonts w:ascii="黑体" w:eastAsia="黑体" w:cs="黑体"/>
          <w:sz w:val="32"/>
          <w:szCs w:val="32"/>
        </w:rPr>
      </w:pPr>
      <w:r>
        <w:rPr>
          <w:rFonts w:hint="eastAsia" w:ascii="黑体" w:eastAsia="黑体" w:cs="黑体"/>
          <w:sz w:val="32"/>
          <w:szCs w:val="32"/>
        </w:rPr>
        <w:t>一、基本情况</w:t>
      </w:r>
    </w:p>
    <w:tbl>
      <w:tblPr>
        <w:tblStyle w:val="10"/>
        <w:tblW w:w="924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83"/>
        <w:gridCol w:w="1155"/>
        <w:gridCol w:w="777"/>
        <w:gridCol w:w="2142"/>
        <w:gridCol w:w="1386"/>
        <w:gridCol w:w="210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1683" w:type="dxa"/>
            <w:tcBorders>
              <w:top w:val="single" w:color="auto" w:sz="6" w:space="0"/>
              <w:left w:val="single" w:color="auto" w:sz="6" w:space="0"/>
              <w:bottom w:val="single" w:color="auto" w:sz="6" w:space="0"/>
              <w:right w:val="single" w:color="auto" w:sz="6" w:space="0"/>
            </w:tcBorders>
            <w:vAlign w:val="center"/>
          </w:tcPr>
          <w:p>
            <w:pPr>
              <w:jc w:val="distribute"/>
              <w:rPr>
                <w:rFonts w:ascii="宋体" w:hAnsi="宋体"/>
                <w:sz w:val="24"/>
                <w:szCs w:val="24"/>
              </w:rPr>
            </w:pPr>
            <w:r>
              <w:rPr>
                <w:rFonts w:hint="eastAsia" w:ascii="宋体" w:hAnsi="宋体"/>
                <w:sz w:val="24"/>
                <w:szCs w:val="24"/>
              </w:rPr>
              <w:t>项目名称</w:t>
            </w:r>
          </w:p>
        </w:tc>
        <w:tc>
          <w:tcPr>
            <w:tcW w:w="7560" w:type="dxa"/>
            <w:gridSpan w:val="5"/>
            <w:tcBorders>
              <w:top w:val="single" w:color="auto" w:sz="6" w:space="0"/>
              <w:left w:val="single" w:color="auto" w:sz="6" w:space="0"/>
              <w:bottom w:val="single" w:color="auto" w:sz="6" w:space="0"/>
              <w:right w:val="single" w:color="auto" w:sz="6" w:space="0"/>
            </w:tcBorders>
            <w:vAlign w:val="center"/>
          </w:tcPr>
          <w:p>
            <w:pPr>
              <w:spacing w:line="460" w:lineRule="exact"/>
              <w:ind w:left="1161" w:hanging="1161" w:hangingChars="645"/>
              <w:jc w:val="center"/>
              <w:rPr>
                <w:rFonts w:ascii="宋体" w:hAnsi="宋体"/>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1683" w:type="dxa"/>
            <w:tcBorders>
              <w:top w:val="single" w:color="auto" w:sz="6" w:space="0"/>
              <w:left w:val="single" w:color="auto" w:sz="6" w:space="0"/>
              <w:bottom w:val="single" w:color="auto" w:sz="6" w:space="0"/>
              <w:right w:val="single" w:color="auto" w:sz="6" w:space="0"/>
            </w:tcBorders>
            <w:vAlign w:val="center"/>
          </w:tcPr>
          <w:p>
            <w:pPr>
              <w:jc w:val="distribute"/>
              <w:rPr>
                <w:rFonts w:ascii="宋体" w:hAnsi="宋体"/>
                <w:sz w:val="24"/>
                <w:szCs w:val="24"/>
              </w:rPr>
            </w:pPr>
            <w:r>
              <w:rPr>
                <w:rFonts w:hint="eastAsia" w:ascii="宋体" w:hAnsi="宋体"/>
                <w:sz w:val="24"/>
                <w:szCs w:val="24"/>
              </w:rPr>
              <w:t>项目申报单位</w:t>
            </w:r>
          </w:p>
        </w:tc>
        <w:tc>
          <w:tcPr>
            <w:tcW w:w="7560" w:type="dxa"/>
            <w:gridSpan w:val="5"/>
            <w:tcBorders>
              <w:top w:val="single" w:color="auto" w:sz="6" w:space="0"/>
              <w:left w:val="single" w:color="auto" w:sz="6" w:space="0"/>
              <w:bottom w:val="single" w:color="auto" w:sz="6" w:space="0"/>
              <w:right w:val="single" w:color="auto" w:sz="6" w:space="0"/>
            </w:tcBorders>
            <w:vAlign w:val="center"/>
          </w:tcPr>
          <w:p>
            <w:pPr>
              <w:jc w:val="center"/>
              <w:rPr>
                <w:rFonts w:ascii="宋体" w:hAnsi="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1683" w:type="dxa"/>
            <w:tcBorders>
              <w:top w:val="single" w:color="auto" w:sz="6" w:space="0"/>
              <w:left w:val="single" w:color="auto" w:sz="6" w:space="0"/>
              <w:bottom w:val="single" w:color="auto" w:sz="6" w:space="0"/>
              <w:right w:val="single" w:color="auto" w:sz="6" w:space="0"/>
            </w:tcBorders>
            <w:vAlign w:val="center"/>
          </w:tcPr>
          <w:p>
            <w:pPr>
              <w:jc w:val="distribute"/>
              <w:rPr>
                <w:rFonts w:ascii="宋体" w:hAnsi="宋体"/>
                <w:sz w:val="24"/>
                <w:szCs w:val="24"/>
              </w:rPr>
            </w:pPr>
            <w:r>
              <w:rPr>
                <w:rFonts w:hint="eastAsia" w:ascii="宋体" w:hAnsi="宋体"/>
                <w:sz w:val="24"/>
                <w:szCs w:val="24"/>
              </w:rPr>
              <w:t>通讯地址</w:t>
            </w:r>
          </w:p>
        </w:tc>
        <w:tc>
          <w:tcPr>
            <w:tcW w:w="4074" w:type="dxa"/>
            <w:gridSpan w:val="3"/>
            <w:tcBorders>
              <w:top w:val="single" w:color="auto" w:sz="6" w:space="0"/>
              <w:left w:val="single" w:color="auto" w:sz="6" w:space="0"/>
              <w:bottom w:val="single" w:color="auto" w:sz="6" w:space="0"/>
              <w:right w:val="single" w:color="auto" w:sz="6" w:space="0"/>
            </w:tcBorders>
            <w:vAlign w:val="center"/>
          </w:tcPr>
          <w:p>
            <w:pPr>
              <w:rPr>
                <w:rFonts w:ascii="宋体" w:hAnsi="宋体"/>
                <w:szCs w:val="21"/>
              </w:rPr>
            </w:pPr>
          </w:p>
        </w:tc>
        <w:tc>
          <w:tcPr>
            <w:tcW w:w="138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sz w:val="24"/>
                <w:szCs w:val="24"/>
              </w:rPr>
            </w:pPr>
            <w:r>
              <w:rPr>
                <w:rFonts w:hint="eastAsia" w:ascii="宋体" w:hAnsi="宋体"/>
                <w:sz w:val="24"/>
                <w:szCs w:val="24"/>
              </w:rPr>
              <w:t>邮政编码</w:t>
            </w:r>
          </w:p>
        </w:tc>
        <w:tc>
          <w:tcPr>
            <w:tcW w:w="2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454" w:hRule="exact"/>
        </w:trPr>
        <w:tc>
          <w:tcPr>
            <w:tcW w:w="1683" w:type="dxa"/>
            <w:tcBorders>
              <w:top w:val="single" w:color="auto" w:sz="6" w:space="0"/>
              <w:left w:val="single" w:color="auto" w:sz="6" w:space="0"/>
              <w:bottom w:val="single" w:color="auto" w:sz="6" w:space="0"/>
              <w:right w:val="single" w:color="auto" w:sz="6" w:space="0"/>
            </w:tcBorders>
            <w:vAlign w:val="center"/>
          </w:tcPr>
          <w:p>
            <w:pPr>
              <w:jc w:val="distribute"/>
              <w:rPr>
                <w:rFonts w:ascii="宋体" w:hAnsi="宋体"/>
                <w:sz w:val="24"/>
                <w:szCs w:val="24"/>
              </w:rPr>
            </w:pPr>
            <w:r>
              <w:rPr>
                <w:rFonts w:hint="eastAsia" w:ascii="宋体" w:hAnsi="宋体"/>
                <w:sz w:val="24"/>
                <w:szCs w:val="24"/>
              </w:rPr>
              <w:t>电子信箱</w:t>
            </w:r>
          </w:p>
        </w:tc>
        <w:tc>
          <w:tcPr>
            <w:tcW w:w="4074" w:type="dxa"/>
            <w:gridSpan w:val="3"/>
            <w:tcBorders>
              <w:top w:val="single" w:color="auto" w:sz="6" w:space="0"/>
              <w:left w:val="single" w:color="auto" w:sz="6" w:space="0"/>
              <w:bottom w:val="single" w:color="auto" w:sz="6" w:space="0"/>
              <w:right w:val="single" w:color="auto" w:sz="6" w:space="0"/>
            </w:tcBorders>
            <w:vAlign w:val="center"/>
          </w:tcPr>
          <w:p>
            <w:pPr>
              <w:rPr>
                <w:rFonts w:ascii="宋体" w:hAnsi="宋体"/>
                <w:sz w:val="24"/>
                <w:szCs w:val="24"/>
              </w:rPr>
            </w:pPr>
          </w:p>
        </w:tc>
        <w:tc>
          <w:tcPr>
            <w:tcW w:w="138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sz w:val="24"/>
                <w:szCs w:val="24"/>
              </w:rPr>
            </w:pPr>
            <w:r>
              <w:rPr>
                <w:rFonts w:hint="eastAsia" w:ascii="宋体" w:hAnsi="宋体"/>
                <w:sz w:val="24"/>
                <w:szCs w:val="24"/>
              </w:rPr>
              <w:t>传真电话</w:t>
            </w:r>
          </w:p>
        </w:tc>
        <w:tc>
          <w:tcPr>
            <w:tcW w:w="2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1683" w:type="dxa"/>
            <w:tcBorders>
              <w:top w:val="single" w:color="auto" w:sz="6" w:space="0"/>
              <w:left w:val="single" w:color="auto" w:sz="6" w:space="0"/>
              <w:bottom w:val="single" w:color="auto" w:sz="6" w:space="0"/>
              <w:right w:val="single" w:color="auto" w:sz="6" w:space="0"/>
            </w:tcBorders>
            <w:vAlign w:val="center"/>
          </w:tcPr>
          <w:p>
            <w:pPr>
              <w:jc w:val="distribute"/>
              <w:rPr>
                <w:rFonts w:ascii="宋体" w:hAnsi="宋体"/>
                <w:sz w:val="24"/>
                <w:szCs w:val="24"/>
              </w:rPr>
            </w:pPr>
            <w:r>
              <w:rPr>
                <w:rFonts w:hint="eastAsia" w:ascii="宋体" w:hAnsi="宋体"/>
                <w:sz w:val="24"/>
                <w:szCs w:val="24"/>
              </w:rPr>
              <w:t>法定代表人</w:t>
            </w:r>
          </w:p>
        </w:tc>
        <w:tc>
          <w:tcPr>
            <w:tcW w:w="1932"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宋体" w:hAnsi="宋体"/>
                <w:sz w:val="24"/>
                <w:szCs w:val="24"/>
              </w:rPr>
            </w:pPr>
          </w:p>
        </w:tc>
        <w:tc>
          <w:tcPr>
            <w:tcW w:w="2142"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sz w:val="24"/>
                <w:szCs w:val="24"/>
              </w:rPr>
            </w:pPr>
            <w:r>
              <w:rPr>
                <w:rFonts w:hint="eastAsia" w:ascii="宋体" w:hAnsi="宋体"/>
                <w:sz w:val="24"/>
                <w:szCs w:val="24"/>
              </w:rPr>
              <w:t>统一社会信用代码</w:t>
            </w:r>
          </w:p>
        </w:tc>
        <w:tc>
          <w:tcPr>
            <w:tcW w:w="3486"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宋体" w:hAnsi="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1683" w:type="dxa"/>
            <w:tcBorders>
              <w:top w:val="single" w:color="auto" w:sz="6" w:space="0"/>
              <w:left w:val="single" w:color="auto" w:sz="6" w:space="0"/>
              <w:bottom w:val="single" w:color="auto" w:sz="6" w:space="0"/>
              <w:right w:val="single" w:color="auto" w:sz="6" w:space="0"/>
            </w:tcBorders>
            <w:vAlign w:val="center"/>
          </w:tcPr>
          <w:p>
            <w:pPr>
              <w:jc w:val="distribute"/>
              <w:rPr>
                <w:rFonts w:ascii="宋体" w:hAnsi="宋体"/>
                <w:sz w:val="24"/>
                <w:szCs w:val="24"/>
              </w:rPr>
            </w:pPr>
            <w:r>
              <w:rPr>
                <w:rFonts w:hint="eastAsia" w:ascii="宋体" w:hAnsi="宋体"/>
                <w:sz w:val="24"/>
                <w:szCs w:val="24"/>
              </w:rPr>
              <w:t>————</w:t>
            </w:r>
          </w:p>
        </w:tc>
        <w:tc>
          <w:tcPr>
            <w:tcW w:w="1155"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sz w:val="24"/>
                <w:szCs w:val="24"/>
              </w:rPr>
            </w:pPr>
            <w:r>
              <w:rPr>
                <w:rFonts w:hint="eastAsia" w:ascii="宋体" w:hAnsi="宋体"/>
                <w:sz w:val="24"/>
                <w:szCs w:val="24"/>
              </w:rPr>
              <w:t>姓名</w:t>
            </w:r>
          </w:p>
        </w:tc>
        <w:tc>
          <w:tcPr>
            <w:tcW w:w="2919"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宋体" w:hAnsi="宋体"/>
                <w:sz w:val="24"/>
                <w:szCs w:val="24"/>
              </w:rPr>
            </w:pPr>
            <w:r>
              <w:rPr>
                <w:rFonts w:hint="eastAsia" w:ascii="宋体" w:hAnsi="宋体"/>
                <w:sz w:val="24"/>
                <w:szCs w:val="24"/>
              </w:rPr>
              <w:t>职务</w:t>
            </w:r>
          </w:p>
        </w:tc>
        <w:tc>
          <w:tcPr>
            <w:tcW w:w="138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sz w:val="24"/>
                <w:szCs w:val="24"/>
              </w:rPr>
            </w:pPr>
            <w:r>
              <w:rPr>
                <w:rFonts w:hint="eastAsia" w:ascii="宋体" w:hAnsi="宋体"/>
                <w:sz w:val="24"/>
                <w:szCs w:val="24"/>
              </w:rPr>
              <w:t>办公电话</w:t>
            </w:r>
          </w:p>
        </w:tc>
        <w:tc>
          <w:tcPr>
            <w:tcW w:w="2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sz w:val="24"/>
                <w:szCs w:val="24"/>
              </w:rPr>
            </w:pPr>
            <w:r>
              <w:rPr>
                <w:rFonts w:hint="eastAsia" w:ascii="宋体" w:hAnsi="宋体"/>
                <w:sz w:val="24"/>
                <w:szCs w:val="24"/>
              </w:rPr>
              <w:t>手机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1683" w:type="dxa"/>
            <w:tcBorders>
              <w:top w:val="single" w:color="auto" w:sz="6" w:space="0"/>
              <w:left w:val="single" w:color="auto" w:sz="6" w:space="0"/>
              <w:bottom w:val="single" w:color="auto" w:sz="6" w:space="0"/>
              <w:right w:val="single" w:color="auto" w:sz="6" w:space="0"/>
            </w:tcBorders>
            <w:vAlign w:val="center"/>
          </w:tcPr>
          <w:p>
            <w:pPr>
              <w:jc w:val="distribute"/>
              <w:rPr>
                <w:rFonts w:ascii="宋体" w:hAnsi="宋体"/>
                <w:sz w:val="24"/>
                <w:szCs w:val="24"/>
              </w:rPr>
            </w:pPr>
            <w:r>
              <w:rPr>
                <w:rFonts w:hint="eastAsia" w:ascii="宋体" w:hAnsi="宋体"/>
                <w:sz w:val="24"/>
                <w:szCs w:val="24"/>
              </w:rPr>
              <w:t>负责人</w:t>
            </w:r>
          </w:p>
        </w:tc>
        <w:tc>
          <w:tcPr>
            <w:tcW w:w="1155"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sz w:val="24"/>
                <w:szCs w:val="24"/>
              </w:rPr>
            </w:pPr>
          </w:p>
        </w:tc>
        <w:tc>
          <w:tcPr>
            <w:tcW w:w="2919"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宋体" w:hAnsi="宋体"/>
                <w:sz w:val="24"/>
                <w:szCs w:val="24"/>
              </w:rPr>
            </w:pPr>
          </w:p>
        </w:tc>
        <w:tc>
          <w:tcPr>
            <w:tcW w:w="138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sz w:val="24"/>
                <w:szCs w:val="24"/>
              </w:rPr>
            </w:pPr>
          </w:p>
        </w:tc>
        <w:tc>
          <w:tcPr>
            <w:tcW w:w="2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454" w:hRule="exact"/>
        </w:trPr>
        <w:tc>
          <w:tcPr>
            <w:tcW w:w="1683" w:type="dxa"/>
            <w:tcBorders>
              <w:top w:val="single" w:color="auto" w:sz="6" w:space="0"/>
              <w:left w:val="single" w:color="auto" w:sz="6" w:space="0"/>
              <w:bottom w:val="single" w:color="auto" w:sz="6" w:space="0"/>
              <w:right w:val="single" w:color="auto" w:sz="6" w:space="0"/>
            </w:tcBorders>
            <w:vAlign w:val="center"/>
          </w:tcPr>
          <w:p>
            <w:pPr>
              <w:jc w:val="distribute"/>
              <w:rPr>
                <w:rFonts w:ascii="宋体" w:hAnsi="宋体"/>
                <w:sz w:val="24"/>
                <w:szCs w:val="24"/>
              </w:rPr>
            </w:pPr>
            <w:r>
              <w:rPr>
                <w:rFonts w:hint="eastAsia" w:ascii="宋体" w:hAnsi="宋体"/>
                <w:sz w:val="24"/>
                <w:szCs w:val="24"/>
              </w:rPr>
              <w:t>联系人</w:t>
            </w:r>
          </w:p>
        </w:tc>
        <w:tc>
          <w:tcPr>
            <w:tcW w:w="1155"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sz w:val="24"/>
                <w:szCs w:val="24"/>
              </w:rPr>
            </w:pPr>
          </w:p>
        </w:tc>
        <w:tc>
          <w:tcPr>
            <w:tcW w:w="2919"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宋体" w:hAnsi="宋体"/>
                <w:sz w:val="24"/>
                <w:szCs w:val="24"/>
              </w:rPr>
            </w:pPr>
          </w:p>
        </w:tc>
        <w:tc>
          <w:tcPr>
            <w:tcW w:w="138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sz w:val="24"/>
                <w:szCs w:val="24"/>
              </w:rPr>
            </w:pPr>
          </w:p>
        </w:tc>
        <w:tc>
          <w:tcPr>
            <w:tcW w:w="2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2838" w:type="dxa"/>
            <w:gridSpan w:val="2"/>
            <w:tcBorders>
              <w:top w:val="single" w:color="auto" w:sz="6" w:space="0"/>
              <w:left w:val="single" w:color="auto" w:sz="6" w:space="0"/>
              <w:bottom w:val="single" w:color="auto" w:sz="6" w:space="0"/>
              <w:right w:val="single" w:color="auto" w:sz="6" w:space="0"/>
            </w:tcBorders>
            <w:vAlign w:val="center"/>
          </w:tcPr>
          <w:p>
            <w:pPr>
              <w:jc w:val="distribute"/>
              <w:rPr>
                <w:rFonts w:ascii="宋体" w:hAnsi="宋体"/>
                <w:sz w:val="24"/>
                <w:szCs w:val="24"/>
              </w:rPr>
            </w:pPr>
            <w:r>
              <w:rPr>
                <w:rFonts w:hint="eastAsia" w:ascii="宋体" w:hAnsi="宋体"/>
                <w:sz w:val="24"/>
                <w:szCs w:val="24"/>
              </w:rPr>
              <w:t>投标金额（单位：万元）</w:t>
            </w:r>
          </w:p>
        </w:tc>
        <w:tc>
          <w:tcPr>
            <w:tcW w:w="6405"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宋体" w:hAnsi="宋体"/>
                <w:sz w:val="24"/>
                <w:szCs w:val="24"/>
              </w:rPr>
            </w:pPr>
          </w:p>
        </w:tc>
      </w:tr>
    </w:tbl>
    <w:p>
      <w:pPr>
        <w:spacing w:before="156" w:beforeLines="50"/>
        <w:rPr>
          <w:rFonts w:ascii="黑体" w:eastAsia="黑体" w:cs="黑体"/>
          <w:sz w:val="32"/>
          <w:szCs w:val="32"/>
        </w:rPr>
      </w:pPr>
      <w:r>
        <w:rPr>
          <w:rFonts w:hint="eastAsia" w:ascii="黑体" w:eastAsia="黑体" w:cs="黑体"/>
          <w:sz w:val="32"/>
          <w:szCs w:val="32"/>
        </w:rPr>
        <w:t>二、申报单位简介</w:t>
      </w:r>
    </w:p>
    <w:tbl>
      <w:tblPr>
        <w:tblStyle w:val="10"/>
        <w:tblW w:w="9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5" w:hRule="atLeast"/>
        </w:trPr>
        <w:tc>
          <w:tcPr>
            <w:tcW w:w="9385" w:type="dxa"/>
            <w:tcBorders>
              <w:top w:val="single" w:color="auto" w:sz="6" w:space="0"/>
              <w:left w:val="single" w:color="auto" w:sz="6" w:space="0"/>
              <w:bottom w:val="single" w:color="auto" w:sz="6" w:space="0"/>
              <w:right w:val="single" w:color="auto" w:sz="6" w:space="0"/>
            </w:tcBorders>
          </w:tcPr>
          <w:p>
            <w:pPr>
              <w:rPr>
                <w:rFonts w:ascii="仿宋_GB2312" w:hAnsi="Dotum" w:cs="仿宋_GB2312"/>
                <w:sz w:val="24"/>
                <w:szCs w:val="24"/>
              </w:rPr>
            </w:pPr>
          </w:p>
          <w:p>
            <w:pPr>
              <w:rPr>
                <w:rFonts w:ascii="仿宋_GB2312" w:hAnsi="Dotum" w:cs="仿宋_GB2312"/>
                <w:sz w:val="24"/>
                <w:szCs w:val="24"/>
              </w:rPr>
            </w:pPr>
          </w:p>
          <w:p>
            <w:pPr>
              <w:ind w:firstLine="480" w:firstLineChars="200"/>
              <w:rPr>
                <w:rFonts w:ascii="仿宋_GB2312" w:hAnsi="Dotum" w:cs="仿宋_GB2312"/>
                <w:sz w:val="24"/>
                <w:szCs w:val="24"/>
              </w:rPr>
            </w:pPr>
          </w:p>
          <w:p>
            <w:pPr>
              <w:ind w:firstLine="480" w:firstLineChars="200"/>
              <w:rPr>
                <w:rFonts w:ascii="仿宋_GB2312" w:hAnsi="Dotum" w:cs="仿宋_GB2312"/>
                <w:sz w:val="24"/>
                <w:szCs w:val="24"/>
              </w:rPr>
            </w:pPr>
          </w:p>
          <w:p>
            <w:pPr>
              <w:ind w:firstLine="480" w:firstLineChars="200"/>
              <w:rPr>
                <w:rFonts w:ascii="仿宋_GB2312" w:hAnsi="Dotum" w:cs="仿宋_GB2312"/>
                <w:sz w:val="24"/>
                <w:szCs w:val="24"/>
              </w:rPr>
            </w:pPr>
          </w:p>
          <w:p>
            <w:pPr>
              <w:ind w:firstLine="480" w:firstLineChars="200"/>
              <w:rPr>
                <w:rFonts w:ascii="仿宋_GB2312" w:hAnsi="Dotum" w:cs="仿宋_GB2312"/>
                <w:sz w:val="24"/>
                <w:szCs w:val="24"/>
              </w:rPr>
            </w:pPr>
          </w:p>
          <w:p>
            <w:pPr>
              <w:ind w:firstLine="480" w:firstLineChars="200"/>
              <w:rPr>
                <w:rFonts w:ascii="仿宋_GB2312" w:hAnsi="Dotum" w:cs="仿宋_GB2312"/>
                <w:sz w:val="24"/>
                <w:szCs w:val="24"/>
              </w:rPr>
            </w:pPr>
          </w:p>
          <w:p>
            <w:pPr>
              <w:ind w:firstLine="480" w:firstLineChars="200"/>
              <w:rPr>
                <w:rFonts w:ascii="仿宋_GB2312" w:hAnsi="Dotum" w:cs="仿宋_GB2312"/>
                <w:sz w:val="24"/>
                <w:szCs w:val="24"/>
              </w:rPr>
            </w:pPr>
          </w:p>
          <w:p>
            <w:pPr>
              <w:rPr>
                <w:rFonts w:ascii="仿宋_GB2312" w:hAnsi="Dotum" w:cs="仿宋_GB2312"/>
                <w:sz w:val="24"/>
                <w:szCs w:val="24"/>
              </w:rPr>
            </w:pPr>
          </w:p>
        </w:tc>
      </w:tr>
    </w:tbl>
    <w:p>
      <w:pPr>
        <w:spacing w:before="156" w:beforeLines="50"/>
        <w:rPr>
          <w:rFonts w:ascii="黑体" w:eastAsia="黑体" w:cs="黑体"/>
          <w:sz w:val="32"/>
          <w:szCs w:val="32"/>
        </w:rPr>
      </w:pPr>
      <w:r>
        <w:rPr>
          <w:rFonts w:hint="eastAsia" w:ascii="黑体" w:eastAsia="黑体" w:cs="黑体"/>
          <w:sz w:val="32"/>
          <w:szCs w:val="32"/>
        </w:rPr>
        <w:t>三、项目方案</w:t>
      </w:r>
    </w:p>
    <w:tbl>
      <w:tblPr>
        <w:tblStyle w:val="10"/>
        <w:tblW w:w="9166" w:type="dxa"/>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9166"/>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177" w:hRule="atLeast"/>
        </w:trPr>
        <w:tc>
          <w:tcPr>
            <w:tcW w:w="9166" w:type="dxa"/>
            <w:tcBorders>
              <w:top w:val="single" w:color="auto" w:sz="6" w:space="0"/>
              <w:left w:val="single" w:color="auto" w:sz="6" w:space="0"/>
              <w:bottom w:val="single" w:color="auto" w:sz="6" w:space="0"/>
              <w:right w:val="single" w:color="auto" w:sz="6" w:space="0"/>
            </w:tcBorders>
          </w:tcPr>
          <w:p>
            <w:pPr>
              <w:autoSpaceDE w:val="0"/>
              <w:autoSpaceDN w:val="0"/>
              <w:spacing w:line="440" w:lineRule="exact"/>
              <w:ind w:firstLine="750" w:firstLineChars="250"/>
              <w:rPr>
                <w:rFonts w:ascii="仿宋_GB2312" w:hAnsi="仿宋_GB2312" w:cs="仿宋_GB2312"/>
                <w:color w:val="2B2B2B"/>
                <w:sz w:val="30"/>
              </w:rPr>
            </w:pPr>
            <w:r>
              <w:rPr>
                <w:rFonts w:hint="eastAsia" w:ascii="仿宋_GB2312" w:hAnsi="仿宋_GB2312" w:cs="仿宋_GB2312"/>
                <w:color w:val="2B2B2B"/>
                <w:sz w:val="30"/>
              </w:rPr>
              <w:t xml:space="preserve">    </w:t>
            </w:r>
          </w:p>
          <w:p>
            <w:pPr>
              <w:autoSpaceDE w:val="0"/>
              <w:autoSpaceDN w:val="0"/>
              <w:spacing w:line="440" w:lineRule="exact"/>
              <w:ind w:firstLine="750" w:firstLineChars="250"/>
              <w:rPr>
                <w:rFonts w:ascii="仿宋_GB2312" w:hAnsi="仿宋_GB2312" w:cs="仿宋_GB2312"/>
                <w:color w:val="2B2B2B"/>
                <w:sz w:val="30"/>
              </w:rPr>
            </w:pPr>
          </w:p>
          <w:p>
            <w:pPr>
              <w:autoSpaceDE w:val="0"/>
              <w:autoSpaceDN w:val="0"/>
              <w:spacing w:line="440" w:lineRule="exact"/>
              <w:ind w:firstLine="750" w:firstLineChars="250"/>
              <w:rPr>
                <w:rFonts w:ascii="仿宋_GB2312" w:hAnsi="仿宋_GB2312" w:cs="仿宋_GB2312"/>
                <w:color w:val="2B2B2B"/>
                <w:sz w:val="30"/>
              </w:rPr>
            </w:pPr>
          </w:p>
          <w:p>
            <w:pPr>
              <w:autoSpaceDE w:val="0"/>
              <w:autoSpaceDN w:val="0"/>
              <w:spacing w:line="440" w:lineRule="exact"/>
              <w:ind w:firstLine="750" w:firstLineChars="250"/>
              <w:rPr>
                <w:rFonts w:ascii="仿宋_GB2312" w:hAnsi="仿宋_GB2312" w:cs="仿宋_GB2312"/>
                <w:color w:val="2B2B2B"/>
                <w:sz w:val="30"/>
              </w:rPr>
            </w:pPr>
          </w:p>
          <w:p>
            <w:pPr>
              <w:autoSpaceDE w:val="0"/>
              <w:autoSpaceDN w:val="0"/>
              <w:spacing w:line="440" w:lineRule="exact"/>
              <w:ind w:firstLine="750" w:firstLineChars="250"/>
              <w:rPr>
                <w:rFonts w:ascii="仿宋_GB2312" w:hAnsi="仿宋_GB2312" w:cs="仿宋_GB2312"/>
                <w:color w:val="2B2B2B"/>
                <w:sz w:val="30"/>
              </w:rPr>
            </w:pPr>
          </w:p>
          <w:p>
            <w:pPr>
              <w:autoSpaceDE w:val="0"/>
              <w:autoSpaceDN w:val="0"/>
              <w:spacing w:line="440" w:lineRule="exact"/>
              <w:rPr>
                <w:rFonts w:ascii="仿宋_GB2312" w:hAnsi="仿宋_GB2312" w:cs="仿宋_GB2312"/>
                <w:color w:val="2B2B2B"/>
                <w:sz w:val="30"/>
              </w:rPr>
            </w:pPr>
          </w:p>
        </w:tc>
      </w:tr>
    </w:tbl>
    <w:p>
      <w:pPr>
        <w:spacing w:before="156" w:beforeLines="50"/>
        <w:rPr>
          <w:rFonts w:ascii="黑体" w:eastAsia="黑体" w:cs="黑体"/>
          <w:sz w:val="32"/>
          <w:szCs w:val="32"/>
        </w:rPr>
        <w:sectPr>
          <w:footerReference r:id="rId3" w:type="default"/>
          <w:pgSz w:w="11906" w:h="16838"/>
          <w:pgMar w:top="1440" w:right="1588" w:bottom="1440" w:left="1588" w:header="851" w:footer="992" w:gutter="0"/>
          <w:cols w:space="425" w:num="1"/>
          <w:docGrid w:type="lines" w:linePitch="312" w:charSpace="0"/>
        </w:sectPr>
      </w:pPr>
    </w:p>
    <w:p>
      <w:pPr>
        <w:spacing w:before="156" w:beforeLines="50"/>
        <w:rPr>
          <w:rFonts w:ascii="黑体" w:eastAsia="黑体" w:cs="黑体"/>
          <w:sz w:val="32"/>
          <w:szCs w:val="32"/>
        </w:rPr>
      </w:pPr>
      <w:r>
        <w:rPr>
          <w:rFonts w:hint="eastAsia" w:ascii="黑体" w:eastAsia="黑体" w:cs="黑体"/>
          <w:sz w:val="32"/>
          <w:szCs w:val="32"/>
        </w:rPr>
        <w:t>四、经费预算</w:t>
      </w:r>
    </w:p>
    <w:p>
      <w:pPr>
        <w:pStyle w:val="9"/>
        <w:ind w:right="-1044" w:rightChars="-497" w:firstLine="7233" w:firstLineChars="2411"/>
        <w:rPr>
          <w:rFonts w:ascii="仿宋" w:hAnsi="仿宋" w:eastAsia="仿宋"/>
          <w:sz w:val="30"/>
          <w:szCs w:val="30"/>
        </w:rPr>
      </w:pPr>
      <w:r>
        <w:rPr>
          <w:rFonts w:hint="eastAsia" w:ascii="仿宋" w:hAnsi="仿宋" w:eastAsia="仿宋"/>
          <w:sz w:val="30"/>
          <w:szCs w:val="30"/>
        </w:rPr>
        <w:t>单位：万元</w:t>
      </w:r>
    </w:p>
    <w:tbl>
      <w:tblPr>
        <w:tblStyle w:val="10"/>
        <w:tblpPr w:leftFromText="180" w:rightFromText="180" w:vertAnchor="text" w:horzAnchor="page" w:tblpX="1353" w:tblpY="31"/>
        <w:tblOverlap w:val="never"/>
        <w:tblW w:w="9606" w:type="dxa"/>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207"/>
        <w:gridCol w:w="1559"/>
        <w:gridCol w:w="1560"/>
        <w:gridCol w:w="2040"/>
        <w:gridCol w:w="1362"/>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878" w:type="dxa"/>
            <w:tcBorders>
              <w:top w:val="single" w:color="auto" w:sz="6" w:space="0"/>
              <w:left w:val="single" w:color="auto" w:sz="6" w:space="0"/>
              <w:bottom w:val="single" w:color="auto" w:sz="4" w:space="0"/>
              <w:right w:val="single" w:color="auto" w:sz="4" w:space="0"/>
            </w:tcBorders>
            <w:vAlign w:val="center"/>
          </w:tcPr>
          <w:p>
            <w:pPr>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序号</w:t>
            </w:r>
          </w:p>
        </w:tc>
        <w:tc>
          <w:tcPr>
            <w:tcW w:w="2207" w:type="dxa"/>
            <w:tcBorders>
              <w:top w:val="single" w:color="auto" w:sz="6"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服务内容</w:t>
            </w:r>
          </w:p>
        </w:tc>
        <w:tc>
          <w:tcPr>
            <w:tcW w:w="1559" w:type="dxa"/>
            <w:tcBorders>
              <w:top w:val="single" w:color="auto" w:sz="6"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单价</w:t>
            </w:r>
          </w:p>
        </w:tc>
        <w:tc>
          <w:tcPr>
            <w:tcW w:w="1560" w:type="dxa"/>
            <w:tcBorders>
              <w:top w:val="single" w:color="auto" w:sz="6"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数量</w:t>
            </w:r>
          </w:p>
        </w:tc>
        <w:tc>
          <w:tcPr>
            <w:tcW w:w="2040" w:type="dxa"/>
            <w:tcBorders>
              <w:top w:val="single" w:color="auto" w:sz="6"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预算报价</w:t>
            </w:r>
          </w:p>
        </w:tc>
        <w:tc>
          <w:tcPr>
            <w:tcW w:w="1362" w:type="dxa"/>
            <w:tcBorders>
              <w:top w:val="single" w:color="auto" w:sz="6" w:space="0"/>
              <w:left w:val="single" w:color="auto" w:sz="4" w:space="0"/>
              <w:bottom w:val="single" w:color="auto" w:sz="4" w:space="0"/>
              <w:right w:val="single" w:color="auto" w:sz="6" w:space="0"/>
            </w:tcBorders>
            <w:vAlign w:val="center"/>
          </w:tcPr>
          <w:p>
            <w:pPr>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备注</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PrEx>
        <w:trPr>
          <w:trHeight w:val="1082" w:hRule="atLeast"/>
        </w:trPr>
        <w:tc>
          <w:tcPr>
            <w:tcW w:w="878" w:type="dxa"/>
            <w:tcBorders>
              <w:top w:val="single" w:color="auto" w:sz="4" w:space="0"/>
              <w:left w:val="single" w:color="auto" w:sz="6" w:space="0"/>
              <w:bottom w:val="single" w:color="auto" w:sz="4" w:space="0"/>
              <w:right w:val="single" w:color="auto" w:sz="4" w:space="0"/>
            </w:tcBorders>
            <w:vAlign w:val="center"/>
          </w:tcPr>
          <w:p>
            <w:pPr>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1</w:t>
            </w:r>
          </w:p>
        </w:tc>
        <w:tc>
          <w:tcPr>
            <w:tcW w:w="220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30"/>
                <w:szCs w:val="30"/>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30"/>
                <w:szCs w:val="30"/>
              </w:rPr>
            </w:pPr>
          </w:p>
        </w:tc>
        <w:tc>
          <w:tcPr>
            <w:tcW w:w="156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30"/>
                <w:szCs w:val="30"/>
              </w:rPr>
            </w:pPr>
          </w:p>
        </w:tc>
        <w:tc>
          <w:tcPr>
            <w:tcW w:w="20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30"/>
                <w:szCs w:val="30"/>
              </w:rPr>
            </w:pPr>
          </w:p>
        </w:tc>
        <w:tc>
          <w:tcPr>
            <w:tcW w:w="1362" w:type="dxa"/>
            <w:tcBorders>
              <w:top w:val="single" w:color="auto" w:sz="4" w:space="0"/>
              <w:left w:val="single" w:color="auto" w:sz="4" w:space="0"/>
              <w:bottom w:val="single" w:color="auto" w:sz="4" w:space="0"/>
              <w:right w:val="single" w:color="auto" w:sz="6" w:space="0"/>
            </w:tcBorders>
            <w:vAlign w:val="center"/>
          </w:tcPr>
          <w:p>
            <w:pPr>
              <w:jc w:val="center"/>
              <w:rPr>
                <w:rFonts w:ascii="仿宋_GB2312" w:hAnsi="仿宋_GB2312" w:eastAsia="仿宋_GB2312" w:cs="仿宋_GB2312"/>
                <w:sz w:val="30"/>
                <w:szCs w:val="3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3085" w:type="dxa"/>
            <w:gridSpan w:val="2"/>
            <w:tcBorders>
              <w:top w:val="single" w:color="auto" w:sz="4" w:space="0"/>
              <w:left w:val="single" w:color="auto" w:sz="6" w:space="0"/>
              <w:bottom w:val="single" w:color="auto" w:sz="4" w:space="0"/>
              <w:right w:val="single" w:color="auto" w:sz="4" w:space="0"/>
            </w:tcBorders>
            <w:vAlign w:val="center"/>
          </w:tcPr>
          <w:p>
            <w:pPr>
              <w:rPr>
                <w:rFonts w:ascii="仿宋_GB2312" w:hAnsi="仿宋_GB2312" w:eastAsia="仿宋_GB2312" w:cs="仿宋_GB2312"/>
                <w:sz w:val="30"/>
                <w:szCs w:val="30"/>
              </w:rPr>
            </w:pPr>
            <w:r>
              <w:rPr>
                <w:rFonts w:hint="eastAsia" w:ascii="仿宋_GB2312" w:hAnsi="仿宋_GB2312" w:eastAsia="仿宋_GB2312" w:cs="仿宋_GB2312"/>
                <w:sz w:val="30"/>
                <w:szCs w:val="30"/>
              </w:rPr>
              <w:t>合计金额（单位：万元）</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30"/>
                <w:szCs w:val="30"/>
              </w:rPr>
            </w:pPr>
          </w:p>
        </w:tc>
        <w:tc>
          <w:tcPr>
            <w:tcW w:w="156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30"/>
                <w:szCs w:val="30"/>
              </w:rPr>
            </w:pPr>
          </w:p>
        </w:tc>
        <w:tc>
          <w:tcPr>
            <w:tcW w:w="3402" w:type="dxa"/>
            <w:gridSpan w:val="2"/>
            <w:tcBorders>
              <w:top w:val="single" w:color="auto" w:sz="4" w:space="0"/>
              <w:left w:val="single" w:color="auto" w:sz="4" w:space="0"/>
              <w:bottom w:val="single" w:color="auto" w:sz="4" w:space="0"/>
              <w:right w:val="single" w:color="auto" w:sz="6" w:space="0"/>
            </w:tcBorders>
            <w:vAlign w:val="center"/>
          </w:tcPr>
          <w:p>
            <w:pPr>
              <w:jc w:val="center"/>
              <w:rPr>
                <w:rFonts w:ascii="仿宋_GB2312" w:hAnsi="仿宋_GB2312" w:eastAsia="仿宋_GB2312" w:cs="仿宋_GB2312"/>
                <w:sz w:val="30"/>
                <w:szCs w:val="3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PrEx>
        <w:trPr>
          <w:trHeight w:val="1082" w:hRule="atLeast"/>
        </w:trPr>
        <w:tc>
          <w:tcPr>
            <w:tcW w:w="9606" w:type="dxa"/>
            <w:gridSpan w:val="6"/>
            <w:tcBorders>
              <w:top w:val="single" w:color="auto" w:sz="4" w:space="0"/>
              <w:left w:val="single" w:color="auto" w:sz="6" w:space="0"/>
              <w:bottom w:val="single" w:color="auto" w:sz="4" w:space="0"/>
              <w:right w:val="single" w:color="auto" w:sz="6" w:space="0"/>
            </w:tcBorders>
            <w:vAlign w:val="center"/>
          </w:tcPr>
          <w:p>
            <w:pPr>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注：各</w:t>
            </w:r>
            <w:r>
              <w:rPr>
                <w:rFonts w:ascii="仿宋_GB2312" w:hAnsi="仿宋_GB2312" w:eastAsia="仿宋_GB2312" w:cs="仿宋_GB2312"/>
                <w:sz w:val="30"/>
                <w:szCs w:val="30"/>
              </w:rPr>
              <w:t>服务内容</w:t>
            </w:r>
            <w:r>
              <w:rPr>
                <w:rFonts w:hint="eastAsia" w:ascii="仿宋_GB2312" w:hAnsi="仿宋_GB2312" w:eastAsia="仿宋_GB2312" w:cs="仿宋_GB2312"/>
                <w:sz w:val="30"/>
                <w:szCs w:val="30"/>
              </w:rPr>
              <w:t>预算总价</w:t>
            </w:r>
            <w:r>
              <w:rPr>
                <w:rFonts w:ascii="仿宋_GB2312" w:hAnsi="仿宋_GB2312" w:eastAsia="仿宋_GB2312" w:cs="仿宋_GB2312"/>
                <w:sz w:val="30"/>
                <w:szCs w:val="30"/>
              </w:rPr>
              <w:t>不得超过</w:t>
            </w:r>
            <w:r>
              <w:rPr>
                <w:rFonts w:hint="eastAsia" w:ascii="仿宋_GB2312" w:hAnsi="仿宋_GB2312" w:eastAsia="仿宋_GB2312" w:cs="仿宋_GB2312"/>
                <w:sz w:val="30"/>
                <w:szCs w:val="30"/>
              </w:rPr>
              <w:t>“六、项目经费”中“</w:t>
            </w:r>
            <w:r>
              <w:rPr>
                <w:rFonts w:hint="eastAsia" w:ascii="仿宋" w:hAnsi="仿宋" w:eastAsia="仿宋" w:cs="仿宋"/>
                <w:sz w:val="32"/>
                <w:szCs w:val="32"/>
              </w:rPr>
              <w:t>本年度项目预算经费</w:t>
            </w:r>
            <w:r>
              <w:rPr>
                <w:rFonts w:hint="eastAsia" w:ascii="仿宋_GB2312" w:hAnsi="仿宋_GB2312" w:eastAsia="仿宋_GB2312" w:cs="仿宋_GB2312"/>
                <w:sz w:val="30"/>
                <w:szCs w:val="30"/>
              </w:rPr>
              <w:t>”，否则投标无效。</w:t>
            </w:r>
          </w:p>
        </w:tc>
      </w:tr>
    </w:tbl>
    <w:p>
      <w:pPr>
        <w:spacing w:before="156" w:beforeLines="50"/>
        <w:rPr>
          <w:rFonts w:ascii="黑体" w:eastAsia="黑体" w:cs="黑体"/>
          <w:sz w:val="32"/>
          <w:szCs w:val="32"/>
        </w:rPr>
        <w:sectPr>
          <w:pgSz w:w="11906" w:h="16838"/>
          <w:pgMar w:top="1440" w:right="1588" w:bottom="1440" w:left="1588" w:header="851" w:footer="992" w:gutter="0"/>
          <w:cols w:space="425" w:num="1"/>
          <w:docGrid w:type="lines" w:linePitch="312" w:charSpace="0"/>
        </w:sectPr>
      </w:pPr>
    </w:p>
    <w:p>
      <w:pPr>
        <w:spacing w:before="156" w:beforeLines="50"/>
        <w:rPr>
          <w:rFonts w:ascii="黑体" w:eastAsia="黑体" w:cs="黑体"/>
          <w:sz w:val="32"/>
          <w:szCs w:val="32"/>
        </w:rPr>
      </w:pPr>
      <w:r>
        <w:rPr>
          <w:rFonts w:hint="eastAsia" w:ascii="黑体" w:eastAsia="黑体" w:cs="黑体"/>
          <w:sz w:val="32"/>
          <w:szCs w:val="32"/>
        </w:rPr>
        <w:t>五、申报单位承诺</w:t>
      </w:r>
    </w:p>
    <w:tbl>
      <w:tblPr>
        <w:tblStyle w:val="10"/>
        <w:tblW w:w="0" w:type="auto"/>
        <w:tblInd w:w="0" w:type="dxa"/>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tblLayout w:type="fixed"/>
        <w:tblCellMar>
          <w:top w:w="0" w:type="dxa"/>
          <w:left w:w="108" w:type="dxa"/>
          <w:bottom w:w="0" w:type="dxa"/>
          <w:right w:w="108" w:type="dxa"/>
        </w:tblCellMar>
      </w:tblPr>
      <w:tblGrid>
        <w:gridCol w:w="9286"/>
      </w:tblGrid>
      <w:tr>
        <w:tblPrEx>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tblPrEx>
        <w:trPr>
          <w:trHeight w:val="5094" w:hRule="atLeast"/>
        </w:trPr>
        <w:tc>
          <w:tcPr>
            <w:tcW w:w="9286" w:type="dxa"/>
            <w:tcBorders>
              <w:top w:val="single" w:color="auto" w:sz="6" w:space="0"/>
              <w:left w:val="single" w:color="auto" w:sz="6" w:space="0"/>
              <w:bottom w:val="single" w:color="auto" w:sz="6" w:space="0"/>
              <w:right w:val="single" w:color="auto" w:sz="6" w:space="0"/>
            </w:tcBorders>
          </w:tcPr>
          <w:p>
            <w:pPr>
              <w:rPr>
                <w:sz w:val="30"/>
                <w:szCs w:val="30"/>
              </w:rPr>
            </w:pPr>
          </w:p>
          <w:p>
            <w:pPr>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我们确认项目申报内容的真实性，并愿意承担相应的责任。</w:t>
            </w:r>
          </w:p>
          <w:p>
            <w:pPr>
              <w:rPr>
                <w:rFonts w:ascii="仿宋_GB2312" w:hAnsi="仿宋_GB2312" w:eastAsia="仿宋_GB2312" w:cs="仿宋_GB2312"/>
                <w:sz w:val="30"/>
                <w:szCs w:val="30"/>
              </w:rPr>
            </w:pPr>
          </w:p>
          <w:p>
            <w:pPr>
              <w:ind w:firstLine="150" w:firstLineChars="50"/>
              <w:rPr>
                <w:rFonts w:ascii="仿宋_GB2312" w:hAnsi="仿宋_GB2312" w:eastAsia="仿宋_GB2312" w:cs="仿宋_GB2312"/>
                <w:sz w:val="30"/>
                <w:szCs w:val="30"/>
              </w:rPr>
            </w:pPr>
            <w:r>
              <w:rPr>
                <w:rFonts w:hint="eastAsia" w:ascii="仿宋_GB2312" w:hAnsi="仿宋_GB2312" w:eastAsia="仿宋_GB2312" w:cs="仿宋_GB2312"/>
                <w:sz w:val="30"/>
                <w:szCs w:val="30"/>
              </w:rPr>
              <w:t>负责人签字：                            申报单位公章</w:t>
            </w: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年   月   日</w:t>
            </w:r>
          </w:p>
          <w:p>
            <w:pPr>
              <w:rPr>
                <w:sz w:val="30"/>
                <w:szCs w:val="30"/>
              </w:rPr>
            </w:pPr>
          </w:p>
        </w:tc>
      </w:tr>
    </w:tbl>
    <w:p>
      <w:pPr>
        <w:pStyle w:val="9"/>
        <w:ind w:left="0" w:leftChars="0" w:firstLine="0" w:firstLineChars="0"/>
        <w:rPr>
          <w:sz w:val="32"/>
          <w:szCs w:val="32"/>
        </w:rPr>
      </w:pPr>
    </w:p>
    <w:p/>
    <w:p>
      <w:pPr>
        <w:widowControl/>
        <w:ind w:right="640"/>
      </w:pPr>
    </w:p>
    <w:p>
      <w:pPr>
        <w:widowControl/>
        <w:ind w:right="640"/>
      </w:pPr>
    </w:p>
    <w:p>
      <w:pPr>
        <w:widowControl/>
        <w:ind w:right="640"/>
      </w:pPr>
    </w:p>
    <w:p>
      <w:pPr>
        <w:widowControl/>
        <w:ind w:right="640"/>
      </w:pPr>
    </w:p>
    <w:p>
      <w:pPr>
        <w:widowControl/>
        <w:ind w:right="640"/>
      </w:pPr>
    </w:p>
    <w:p>
      <w:pPr>
        <w:widowControl/>
        <w:ind w:right="640"/>
      </w:pPr>
    </w:p>
    <w:p>
      <w:pPr>
        <w:widowControl/>
        <w:ind w:right="640"/>
      </w:pPr>
    </w:p>
    <w:p>
      <w:pPr>
        <w:widowControl/>
        <w:ind w:right="640"/>
      </w:pPr>
    </w:p>
    <w:p>
      <w:pPr>
        <w:widowControl/>
        <w:ind w:right="640"/>
      </w:pPr>
    </w:p>
    <w:p>
      <w:pPr>
        <w:widowControl/>
        <w:ind w:right="640"/>
      </w:pPr>
    </w:p>
    <w:p>
      <w:pPr>
        <w:widowControl/>
        <w:shd w:val="clear" w:color="auto" w:fill="FFFFFF"/>
        <w:spacing w:line="600" w:lineRule="atLeast"/>
        <w:jc w:val="left"/>
        <w:rPr>
          <w:rFonts w:ascii="黑体" w:hAnsi="黑体" w:eastAsia="黑体"/>
          <w:kern w:val="0"/>
          <w:sz w:val="32"/>
          <w:szCs w:val="32"/>
        </w:rPr>
        <w:sectPr>
          <w:pgSz w:w="11906" w:h="16838"/>
          <w:pgMar w:top="1440" w:right="1588" w:bottom="1440" w:left="1588" w:header="851" w:footer="992" w:gutter="0"/>
          <w:cols w:space="425" w:num="1"/>
          <w:docGrid w:type="lines" w:linePitch="312" w:charSpace="0"/>
        </w:sectPr>
      </w:pPr>
    </w:p>
    <w:p>
      <w:pPr>
        <w:widowControl/>
        <w:shd w:val="clear" w:color="auto" w:fill="FFFFFF"/>
        <w:spacing w:line="600" w:lineRule="atLeast"/>
        <w:jc w:val="left"/>
        <w:rPr>
          <w:rFonts w:ascii="黑体" w:hAnsi="黑体" w:eastAsia="黑体"/>
          <w:kern w:val="0"/>
          <w:sz w:val="16"/>
          <w:szCs w:val="16"/>
        </w:rPr>
      </w:pPr>
      <w:r>
        <w:rPr>
          <w:rFonts w:hint="eastAsia" w:ascii="黑体" w:hAnsi="黑体" w:eastAsia="黑体"/>
          <w:kern w:val="0"/>
          <w:sz w:val="32"/>
          <w:szCs w:val="32"/>
        </w:rPr>
        <w:t>附件</w:t>
      </w:r>
      <w:r>
        <w:rPr>
          <w:rFonts w:ascii="黑体" w:hAnsi="黑体" w:eastAsia="黑体"/>
          <w:kern w:val="0"/>
          <w:sz w:val="32"/>
          <w:szCs w:val="32"/>
        </w:rPr>
        <w:t>2</w:t>
      </w:r>
    </w:p>
    <w:p>
      <w:pPr>
        <w:widowControl/>
        <w:shd w:val="clear" w:color="auto" w:fill="FFFFFF"/>
        <w:spacing w:line="640" w:lineRule="atLeast"/>
        <w:jc w:val="center"/>
        <w:rPr>
          <w:rFonts w:ascii="方正小标宋简体" w:hAnsi="微软雅黑" w:eastAsia="方正小标宋简体"/>
          <w:bCs/>
          <w:kern w:val="0"/>
          <w:sz w:val="44"/>
          <w:szCs w:val="44"/>
        </w:rPr>
      </w:pPr>
      <w:r>
        <w:rPr>
          <w:rFonts w:hint="eastAsia" w:ascii="方正小标宋简体" w:hAnsi="微软雅黑" w:eastAsia="方正小标宋简体"/>
          <w:bCs/>
          <w:kern w:val="0"/>
          <w:sz w:val="44"/>
          <w:szCs w:val="44"/>
        </w:rPr>
        <w:t>资料清单及要求</w:t>
      </w:r>
    </w:p>
    <w:p>
      <w:pPr>
        <w:widowControl/>
        <w:shd w:val="clear" w:color="auto" w:fill="FFFFFF"/>
        <w:snapToGrid w:val="0"/>
        <w:jc w:val="center"/>
        <w:rPr>
          <w:rFonts w:ascii="方正小标宋简体" w:hAnsi="微软雅黑" w:eastAsia="方正小标宋简体"/>
          <w:kern w:val="0"/>
          <w:sz w:val="10"/>
          <w:szCs w:val="16"/>
        </w:rPr>
      </w:pPr>
      <w:r>
        <w:rPr>
          <w:rFonts w:hint="eastAsia" w:ascii="方正小标宋简体" w:hAnsi="微软雅黑" w:eastAsia="方正小标宋简体"/>
          <w:bCs/>
          <w:kern w:val="0"/>
          <w:sz w:val="28"/>
          <w:szCs w:val="44"/>
        </w:rPr>
        <w:t>（所有</w:t>
      </w:r>
      <w:r>
        <w:rPr>
          <w:rFonts w:ascii="方正小标宋简体" w:hAnsi="微软雅黑" w:eastAsia="方正小标宋简体"/>
          <w:bCs/>
          <w:kern w:val="0"/>
          <w:sz w:val="28"/>
          <w:szCs w:val="44"/>
        </w:rPr>
        <w:t>资料均</w:t>
      </w:r>
      <w:r>
        <w:rPr>
          <w:rFonts w:hint="eastAsia" w:ascii="方正小标宋简体" w:hAnsi="微软雅黑" w:eastAsia="方正小标宋简体"/>
          <w:bCs/>
          <w:kern w:val="0"/>
          <w:sz w:val="28"/>
          <w:szCs w:val="44"/>
        </w:rPr>
        <w:t>须</w:t>
      </w:r>
      <w:r>
        <w:rPr>
          <w:rFonts w:ascii="方正小标宋简体" w:hAnsi="微软雅黑" w:eastAsia="方正小标宋简体"/>
          <w:bCs/>
          <w:kern w:val="0"/>
          <w:sz w:val="28"/>
          <w:szCs w:val="44"/>
        </w:rPr>
        <w:t>加盖</w:t>
      </w:r>
      <w:r>
        <w:rPr>
          <w:rFonts w:hint="eastAsia" w:ascii="方正小标宋简体" w:hAnsi="微软雅黑" w:eastAsia="方正小标宋简体"/>
          <w:bCs/>
          <w:kern w:val="0"/>
          <w:sz w:val="28"/>
          <w:szCs w:val="44"/>
        </w:rPr>
        <w:t>公章）</w:t>
      </w:r>
    </w:p>
    <w:p>
      <w:pPr>
        <w:widowControl/>
        <w:shd w:val="clear" w:color="auto" w:fill="FFFFFF"/>
        <w:spacing w:line="640" w:lineRule="atLeast"/>
        <w:jc w:val="left"/>
        <w:rPr>
          <w:rFonts w:ascii="微软雅黑" w:hAnsi="微软雅黑" w:eastAsia="微软雅黑"/>
          <w:kern w:val="0"/>
          <w:sz w:val="32"/>
          <w:szCs w:val="32"/>
        </w:rPr>
      </w:pPr>
    </w:p>
    <w:p>
      <w:pPr>
        <w:widowControl/>
        <w:shd w:val="clear" w:color="auto" w:fill="FFFFFF"/>
        <w:ind w:firstLine="640" w:firstLineChars="200"/>
        <w:rPr>
          <w:rFonts w:ascii="黑体" w:hAnsi="黑体" w:eastAsia="黑体"/>
          <w:kern w:val="0"/>
          <w:sz w:val="32"/>
          <w:szCs w:val="32"/>
        </w:rPr>
      </w:pPr>
      <w:r>
        <w:rPr>
          <w:rFonts w:hint="eastAsia" w:ascii="黑体" w:hAnsi="黑体" w:eastAsia="黑体"/>
          <w:kern w:val="0"/>
          <w:sz w:val="32"/>
          <w:szCs w:val="32"/>
        </w:rPr>
        <w:t>一、资料清单</w:t>
      </w:r>
      <w:r>
        <w:rPr>
          <w:rFonts w:hint="eastAsia" w:ascii="微软雅黑" w:hAnsi="微软雅黑" w:eastAsia="黑体"/>
          <w:kern w:val="0"/>
          <w:sz w:val="32"/>
          <w:szCs w:val="32"/>
        </w:rPr>
        <w:t>     </w:t>
      </w:r>
    </w:p>
    <w:p>
      <w:pPr>
        <w:widowControl/>
        <w:shd w:val="clear" w:color="auto" w:fill="FFFFFF"/>
        <w:ind w:firstLine="640" w:firstLineChars="200"/>
        <w:rPr>
          <w:rFonts w:ascii="仿宋_GB2312" w:hAnsi="微软雅黑" w:eastAsia="仿宋_GB2312"/>
          <w:kern w:val="0"/>
          <w:sz w:val="32"/>
          <w:szCs w:val="32"/>
        </w:rPr>
      </w:pPr>
      <w:r>
        <w:rPr>
          <w:rFonts w:hint="eastAsia" w:ascii="仿宋_GB2312" w:hAnsi="微软雅黑" w:eastAsia="仿宋_GB2312"/>
          <w:kern w:val="0"/>
          <w:sz w:val="32"/>
          <w:szCs w:val="32"/>
        </w:rPr>
        <w:t>（一）封面（标明项目名称、响应人全称，由响应人加盖公章，并由法定代表人（或委托人）签字或盖章）</w:t>
      </w:r>
    </w:p>
    <w:p>
      <w:pPr>
        <w:widowControl/>
        <w:shd w:val="clear" w:color="auto" w:fill="FFFFFF"/>
        <w:ind w:firstLine="640" w:firstLineChars="200"/>
        <w:rPr>
          <w:rFonts w:ascii="仿宋_GB2312" w:hAnsi="微软雅黑" w:eastAsia="仿宋_GB2312"/>
          <w:kern w:val="0"/>
          <w:sz w:val="32"/>
          <w:szCs w:val="32"/>
        </w:rPr>
      </w:pPr>
      <w:r>
        <w:rPr>
          <w:rFonts w:hint="eastAsia" w:ascii="仿宋_GB2312" w:hAnsi="微软雅黑" w:eastAsia="仿宋_GB2312"/>
          <w:kern w:val="0"/>
          <w:sz w:val="32"/>
          <w:szCs w:val="32"/>
        </w:rPr>
        <w:t>（二）目录</w:t>
      </w:r>
    </w:p>
    <w:p>
      <w:pPr>
        <w:widowControl/>
        <w:shd w:val="clear" w:color="auto" w:fill="FFFFFF"/>
        <w:ind w:firstLine="640" w:firstLineChars="200"/>
        <w:rPr>
          <w:rFonts w:ascii="仿宋_GB2312" w:hAnsi="微软雅黑" w:eastAsia="仿宋_GB2312"/>
          <w:kern w:val="0"/>
          <w:sz w:val="32"/>
          <w:szCs w:val="32"/>
        </w:rPr>
      </w:pPr>
      <w:r>
        <w:rPr>
          <w:rFonts w:hint="eastAsia" w:ascii="仿宋_GB2312" w:hAnsi="微软雅黑" w:eastAsia="仿宋_GB2312"/>
          <w:kern w:val="0"/>
          <w:sz w:val="32"/>
          <w:szCs w:val="32"/>
        </w:rPr>
        <w:t>（三）承诺书</w:t>
      </w:r>
    </w:p>
    <w:p>
      <w:pPr>
        <w:widowControl/>
        <w:shd w:val="clear" w:color="auto" w:fill="FFFFFF"/>
        <w:ind w:firstLine="640" w:firstLineChars="200"/>
        <w:rPr>
          <w:rFonts w:ascii="仿宋_GB2312" w:hAnsi="微软雅黑" w:eastAsia="仿宋_GB2312"/>
          <w:kern w:val="0"/>
          <w:sz w:val="32"/>
          <w:szCs w:val="32"/>
        </w:rPr>
      </w:pPr>
      <w:r>
        <w:rPr>
          <w:rFonts w:hint="eastAsia" w:ascii="仿宋_GB2312" w:hAnsi="微软雅黑" w:eastAsia="仿宋_GB2312"/>
          <w:kern w:val="0"/>
          <w:sz w:val="32"/>
          <w:szCs w:val="32"/>
        </w:rPr>
        <w:t>承诺愿意承担行业财经服务-会计人员继续教育服务项目，遵守遴选工作要求，认同遴选条件、程序和结果；近三年未有任何违法行为，本单位及其工作人员未受到任何因工作原因而导致的法律制裁；履行保密义务；所提供资料完全属实，如有弄虚作假，本公司赔偿一切由此引起的损失。</w:t>
      </w:r>
    </w:p>
    <w:p>
      <w:pPr>
        <w:widowControl/>
        <w:shd w:val="clear" w:color="auto" w:fill="FFFFFF"/>
        <w:ind w:firstLine="640" w:firstLineChars="200"/>
        <w:rPr>
          <w:rFonts w:ascii="仿宋_GB2312" w:hAnsi="微软雅黑" w:eastAsia="仿宋_GB2312"/>
          <w:kern w:val="0"/>
          <w:sz w:val="32"/>
          <w:szCs w:val="32"/>
        </w:rPr>
      </w:pPr>
      <w:r>
        <w:rPr>
          <w:rFonts w:hint="eastAsia" w:ascii="仿宋_GB2312" w:hAnsi="微软雅黑" w:eastAsia="仿宋_GB2312"/>
          <w:kern w:val="0"/>
          <w:sz w:val="32"/>
          <w:szCs w:val="32"/>
        </w:rPr>
        <w:t>（四）法定代表人身份证明书</w:t>
      </w:r>
    </w:p>
    <w:p>
      <w:pPr>
        <w:widowControl/>
        <w:shd w:val="clear" w:color="auto" w:fill="FFFFFF"/>
        <w:ind w:firstLine="640" w:firstLineChars="200"/>
        <w:rPr>
          <w:rFonts w:ascii="仿宋_GB2312" w:hAnsi="微软雅黑" w:eastAsia="仿宋_GB2312"/>
          <w:kern w:val="0"/>
          <w:sz w:val="32"/>
          <w:szCs w:val="32"/>
        </w:rPr>
      </w:pPr>
      <w:r>
        <w:rPr>
          <w:rFonts w:hint="eastAsia" w:ascii="仿宋_GB2312" w:hAnsi="微软雅黑" w:eastAsia="仿宋_GB2312"/>
          <w:kern w:val="0"/>
          <w:sz w:val="32"/>
          <w:szCs w:val="32"/>
        </w:rPr>
        <w:t>（五）法定代表人授权委托书</w:t>
      </w:r>
    </w:p>
    <w:p>
      <w:pPr>
        <w:widowControl/>
        <w:shd w:val="clear" w:color="auto" w:fill="FFFFFF"/>
        <w:ind w:firstLine="640" w:firstLineChars="200"/>
        <w:rPr>
          <w:rFonts w:ascii="仿宋_GB2312" w:hAnsi="微软雅黑" w:eastAsia="仿宋_GB2312"/>
          <w:kern w:val="0"/>
          <w:sz w:val="32"/>
          <w:szCs w:val="32"/>
        </w:rPr>
      </w:pPr>
      <w:r>
        <w:rPr>
          <w:rFonts w:hint="eastAsia" w:ascii="仿宋_GB2312" w:hAnsi="微软雅黑" w:eastAsia="仿宋_GB2312"/>
          <w:kern w:val="0"/>
          <w:sz w:val="32"/>
          <w:szCs w:val="32"/>
        </w:rPr>
        <w:t>（六）项目承办申请书（附件1）</w:t>
      </w:r>
    </w:p>
    <w:p>
      <w:pPr>
        <w:widowControl/>
        <w:shd w:val="clear" w:color="auto" w:fill="FFFFFF"/>
        <w:ind w:firstLine="640" w:firstLineChars="200"/>
        <w:rPr>
          <w:rFonts w:ascii="仿宋_GB2312" w:hAnsi="微软雅黑" w:eastAsia="仿宋_GB2312"/>
          <w:kern w:val="0"/>
          <w:sz w:val="32"/>
          <w:szCs w:val="32"/>
        </w:rPr>
      </w:pPr>
      <w:r>
        <w:rPr>
          <w:rFonts w:hint="eastAsia" w:ascii="仿宋_GB2312" w:hAnsi="微软雅黑" w:eastAsia="仿宋_GB2312"/>
          <w:kern w:val="0"/>
          <w:sz w:val="32"/>
          <w:szCs w:val="32"/>
        </w:rPr>
        <w:t>（七）相关证明材料</w:t>
      </w:r>
    </w:p>
    <w:p>
      <w:pPr>
        <w:pStyle w:val="7"/>
        <w:spacing w:before="0" w:beforeAutospacing="0" w:after="0" w:afterAutospacing="0"/>
        <w:ind w:firstLine="640" w:firstLineChars="200"/>
        <w:jc w:val="both"/>
        <w:textAlignment w:val="baseline"/>
        <w:rPr>
          <w:rFonts w:ascii="仿宋_GB2312" w:hAnsi="微软雅黑" w:eastAsia="仿宋_GB2312"/>
          <w:sz w:val="32"/>
          <w:szCs w:val="32"/>
        </w:rPr>
      </w:pPr>
      <w:r>
        <w:rPr>
          <w:rFonts w:hint="eastAsia" w:ascii="仿宋_GB2312" w:hAnsi="微软雅黑" w:eastAsia="仿宋_GB2312"/>
          <w:sz w:val="32"/>
          <w:szCs w:val="32"/>
        </w:rPr>
        <w:t>1.有效营业执照以及其他资质证明材料复印件；</w:t>
      </w:r>
    </w:p>
    <w:p>
      <w:pPr>
        <w:widowControl/>
        <w:shd w:val="clear" w:color="auto" w:fill="FFFFFF"/>
        <w:ind w:firstLine="640" w:firstLineChars="200"/>
        <w:rPr>
          <w:rFonts w:ascii="仿宋_GB2312" w:hAnsi="微软雅黑" w:eastAsia="仿宋_GB2312"/>
          <w:kern w:val="0"/>
          <w:sz w:val="32"/>
          <w:szCs w:val="32"/>
        </w:rPr>
      </w:pPr>
      <w:r>
        <w:rPr>
          <w:rFonts w:hint="eastAsia" w:ascii="仿宋_GB2312" w:hAnsi="微软雅黑" w:eastAsia="仿宋_GB2312"/>
          <w:kern w:val="0"/>
          <w:sz w:val="32"/>
          <w:szCs w:val="32"/>
        </w:rPr>
        <w:t>2.缴纳社会保障资金的证明材料，应提供遴选前三个月内任意一个月的缴纳社会保险的凭据（专用收据或社会保险缴纳清单）复印件；</w:t>
      </w:r>
    </w:p>
    <w:p>
      <w:pPr>
        <w:widowControl/>
        <w:shd w:val="clear" w:color="auto" w:fill="FFFFFF"/>
        <w:ind w:firstLine="640" w:firstLineChars="200"/>
        <w:rPr>
          <w:rFonts w:ascii="仿宋_GB2312" w:hAnsi="微软雅黑" w:eastAsia="仿宋_GB2312"/>
          <w:kern w:val="0"/>
          <w:sz w:val="32"/>
          <w:szCs w:val="32"/>
        </w:rPr>
      </w:pPr>
      <w:r>
        <w:rPr>
          <w:rFonts w:ascii="仿宋_GB2312" w:hAnsi="微软雅黑" w:eastAsia="仿宋_GB2312"/>
          <w:kern w:val="0"/>
          <w:sz w:val="32"/>
          <w:szCs w:val="32"/>
        </w:rPr>
        <w:t>3.近三年工作业绩及合同（关键页）复印件等</w:t>
      </w:r>
      <w:r>
        <w:rPr>
          <w:rFonts w:hint="eastAsia" w:ascii="仿宋_GB2312" w:hAnsi="微软雅黑" w:eastAsia="仿宋_GB2312"/>
          <w:kern w:val="0"/>
          <w:sz w:val="32"/>
          <w:szCs w:val="32"/>
        </w:rPr>
        <w:t>。</w:t>
      </w:r>
    </w:p>
    <w:p>
      <w:pPr>
        <w:widowControl/>
        <w:shd w:val="clear" w:color="auto" w:fill="FFFFFF"/>
        <w:ind w:firstLine="640" w:firstLineChars="200"/>
        <w:rPr>
          <w:rFonts w:ascii="仿宋_GB2312" w:hAnsi="微软雅黑" w:eastAsia="仿宋_GB2312"/>
          <w:kern w:val="0"/>
          <w:sz w:val="32"/>
          <w:szCs w:val="32"/>
        </w:rPr>
      </w:pPr>
      <w:r>
        <w:rPr>
          <w:rFonts w:hint="eastAsia" w:ascii="仿宋_GB2312" w:hAnsi="微软雅黑" w:eastAsia="仿宋_GB2312"/>
          <w:kern w:val="0"/>
          <w:sz w:val="32"/>
          <w:szCs w:val="32"/>
        </w:rPr>
        <w:t>（八）师资团队及技术服务团队相关证明材料</w:t>
      </w:r>
    </w:p>
    <w:p>
      <w:pPr>
        <w:widowControl/>
        <w:shd w:val="clear" w:color="auto" w:fill="FFFFFF"/>
        <w:ind w:firstLine="640" w:firstLineChars="200"/>
        <w:rPr>
          <w:rFonts w:ascii="仿宋_GB2312" w:hAnsi="微软雅黑" w:eastAsia="仿宋_GB2312"/>
          <w:kern w:val="0"/>
          <w:sz w:val="32"/>
          <w:szCs w:val="32"/>
        </w:rPr>
      </w:pPr>
      <w:r>
        <w:rPr>
          <w:rFonts w:hint="eastAsia" w:ascii="仿宋_GB2312" w:hAnsi="微软雅黑" w:eastAsia="仿宋_GB2312"/>
          <w:kern w:val="0"/>
          <w:sz w:val="32"/>
          <w:szCs w:val="32"/>
        </w:rPr>
        <w:t>（九）项目工作方案（包括但不限于项目工作方案、学习平台运维方案、应急响应方案、质量保障方案等）</w:t>
      </w:r>
    </w:p>
    <w:p>
      <w:pPr>
        <w:widowControl/>
        <w:shd w:val="clear" w:color="auto" w:fill="FFFFFF"/>
        <w:ind w:firstLine="640" w:firstLineChars="200"/>
        <w:rPr>
          <w:rFonts w:ascii="仿宋_GB2312" w:hAnsi="微软雅黑" w:eastAsia="仿宋_GB2312"/>
          <w:kern w:val="0"/>
          <w:sz w:val="32"/>
          <w:szCs w:val="32"/>
        </w:rPr>
      </w:pPr>
      <w:r>
        <w:rPr>
          <w:rFonts w:hint="eastAsia" w:ascii="仿宋_GB2312" w:hAnsi="微软雅黑" w:eastAsia="仿宋_GB2312"/>
          <w:kern w:val="0"/>
          <w:sz w:val="32"/>
          <w:szCs w:val="32"/>
        </w:rPr>
        <w:t>（十）学习平台等级保护情况证明材料</w:t>
      </w:r>
    </w:p>
    <w:p>
      <w:pPr>
        <w:widowControl/>
        <w:shd w:val="clear" w:color="auto" w:fill="FFFFFF"/>
        <w:ind w:firstLine="640" w:firstLineChars="200"/>
        <w:rPr>
          <w:rFonts w:ascii="仿宋_GB2312" w:hAnsi="微软雅黑" w:eastAsia="仿宋_GB2312"/>
          <w:kern w:val="0"/>
          <w:sz w:val="32"/>
          <w:szCs w:val="32"/>
        </w:rPr>
      </w:pPr>
      <w:r>
        <w:rPr>
          <w:rFonts w:hint="eastAsia" w:ascii="仿宋_GB2312" w:hAnsi="微软雅黑" w:eastAsia="仿宋_GB2312"/>
          <w:kern w:val="0"/>
          <w:sz w:val="32"/>
          <w:szCs w:val="32"/>
        </w:rPr>
        <w:t>（十一）制度保障情况</w:t>
      </w:r>
    </w:p>
    <w:p>
      <w:pPr>
        <w:widowControl/>
        <w:shd w:val="clear" w:color="auto" w:fill="FFFFFF"/>
        <w:ind w:firstLine="640" w:firstLineChars="200"/>
        <w:rPr>
          <w:rFonts w:ascii="仿宋_GB2312" w:hAnsi="微软雅黑" w:eastAsia="仿宋_GB2312"/>
          <w:kern w:val="0"/>
          <w:sz w:val="32"/>
          <w:szCs w:val="32"/>
        </w:rPr>
      </w:pPr>
      <w:r>
        <w:rPr>
          <w:rFonts w:hint="eastAsia" w:ascii="仿宋_GB2312" w:hAnsi="微软雅黑" w:eastAsia="仿宋_GB2312"/>
          <w:kern w:val="0"/>
          <w:sz w:val="32"/>
          <w:szCs w:val="32"/>
        </w:rPr>
        <w:t>（十二）响应人认为需要提供的其他资料</w:t>
      </w:r>
    </w:p>
    <w:p>
      <w:pPr>
        <w:widowControl/>
        <w:shd w:val="clear" w:color="auto" w:fill="FFFFFF"/>
        <w:ind w:firstLine="640" w:firstLineChars="200"/>
        <w:rPr>
          <w:rFonts w:ascii="黑体" w:hAnsi="黑体" w:eastAsia="黑体"/>
          <w:kern w:val="0"/>
          <w:sz w:val="32"/>
          <w:szCs w:val="32"/>
        </w:rPr>
      </w:pPr>
      <w:r>
        <w:rPr>
          <w:rFonts w:hint="eastAsia" w:ascii="黑体" w:hAnsi="黑体" w:eastAsia="黑体"/>
          <w:kern w:val="0"/>
          <w:sz w:val="32"/>
          <w:szCs w:val="32"/>
        </w:rPr>
        <w:t>二、资料份数和签署</w:t>
      </w:r>
    </w:p>
    <w:p>
      <w:pPr>
        <w:widowControl/>
        <w:shd w:val="clear" w:color="auto" w:fill="FFFFFF"/>
        <w:ind w:firstLine="640" w:firstLineChars="200"/>
        <w:rPr>
          <w:rFonts w:ascii="仿宋_GB2312" w:hAnsi="微软雅黑" w:eastAsia="仿宋_GB2312"/>
          <w:kern w:val="0"/>
          <w:sz w:val="32"/>
          <w:szCs w:val="32"/>
        </w:rPr>
      </w:pPr>
      <w:r>
        <w:rPr>
          <w:rFonts w:hint="eastAsia" w:ascii="仿宋_GB2312" w:hAnsi="微软雅黑" w:eastAsia="仿宋_GB2312"/>
          <w:kern w:val="0"/>
          <w:sz w:val="32"/>
          <w:szCs w:val="32"/>
        </w:rPr>
        <w:t>1.响应人应准备1套正本、</w:t>
      </w:r>
      <w:r>
        <w:rPr>
          <w:rFonts w:ascii="仿宋_GB2312" w:hAnsi="微软雅黑" w:eastAsia="仿宋_GB2312"/>
          <w:kern w:val="0"/>
          <w:sz w:val="32"/>
          <w:szCs w:val="32"/>
        </w:rPr>
        <w:t>2</w:t>
      </w:r>
      <w:r>
        <w:rPr>
          <w:rFonts w:hint="eastAsia" w:ascii="仿宋_GB2312" w:hAnsi="微软雅黑" w:eastAsia="仿宋_GB2312"/>
          <w:kern w:val="0"/>
          <w:sz w:val="32"/>
          <w:szCs w:val="32"/>
        </w:rPr>
        <w:t>套</w:t>
      </w:r>
      <w:r>
        <w:rPr>
          <w:rFonts w:ascii="仿宋_GB2312" w:hAnsi="微软雅黑" w:eastAsia="仿宋_GB2312"/>
          <w:kern w:val="0"/>
          <w:sz w:val="32"/>
          <w:szCs w:val="32"/>
        </w:rPr>
        <w:t>副本</w:t>
      </w:r>
      <w:r>
        <w:rPr>
          <w:rFonts w:hint="eastAsia" w:ascii="仿宋_GB2312" w:hAnsi="微软雅黑" w:eastAsia="仿宋_GB2312"/>
          <w:kern w:val="0"/>
          <w:sz w:val="32"/>
          <w:szCs w:val="32"/>
        </w:rPr>
        <w:t>纸质版及相应的PDF电子版遴选文件。</w:t>
      </w:r>
    </w:p>
    <w:p>
      <w:pPr>
        <w:widowControl/>
        <w:shd w:val="clear" w:color="auto" w:fill="FFFFFF"/>
        <w:ind w:firstLine="640" w:firstLineChars="200"/>
        <w:rPr>
          <w:rFonts w:ascii="仿宋_GB2312" w:hAnsi="微软雅黑" w:eastAsia="仿宋_GB2312"/>
          <w:kern w:val="0"/>
          <w:sz w:val="32"/>
          <w:szCs w:val="32"/>
        </w:rPr>
      </w:pPr>
      <w:r>
        <w:rPr>
          <w:rFonts w:hint="eastAsia" w:ascii="仿宋_GB2312" w:hAnsi="微软雅黑" w:eastAsia="仿宋_GB2312"/>
          <w:kern w:val="0"/>
          <w:sz w:val="32"/>
          <w:szCs w:val="32"/>
        </w:rPr>
        <w:t>2.纸质版与电子版遴选文件，字迹应清晰，便于辨认，内容一致。</w:t>
      </w:r>
    </w:p>
    <w:p>
      <w:pPr>
        <w:widowControl/>
        <w:shd w:val="clear" w:color="auto" w:fill="FFFFFF"/>
        <w:ind w:firstLine="640" w:firstLineChars="200"/>
        <w:rPr>
          <w:rFonts w:ascii="仿宋_GB2312" w:hAnsi="微软雅黑" w:eastAsia="仿宋_GB2312"/>
          <w:kern w:val="0"/>
          <w:sz w:val="32"/>
          <w:szCs w:val="32"/>
        </w:rPr>
      </w:pPr>
      <w:r>
        <w:rPr>
          <w:rFonts w:hint="eastAsia" w:ascii="仿宋_GB2312" w:hAnsi="微软雅黑" w:eastAsia="仿宋_GB2312"/>
          <w:kern w:val="0"/>
          <w:sz w:val="32"/>
          <w:szCs w:val="32"/>
        </w:rPr>
        <w:t>3.全套响应资料应无涂改。</w:t>
      </w:r>
    </w:p>
    <w:p>
      <w:pPr>
        <w:widowControl/>
        <w:shd w:val="clear" w:color="auto" w:fill="FFFFFF"/>
        <w:ind w:firstLine="640" w:firstLineChars="200"/>
        <w:rPr>
          <w:rFonts w:ascii="黑体" w:hAnsi="黑体" w:eastAsia="黑体"/>
          <w:kern w:val="0"/>
          <w:sz w:val="32"/>
          <w:szCs w:val="32"/>
        </w:rPr>
      </w:pPr>
      <w:r>
        <w:rPr>
          <w:rFonts w:hint="eastAsia" w:ascii="黑体" w:hAnsi="黑体" w:eastAsia="黑体"/>
          <w:kern w:val="0"/>
          <w:sz w:val="32"/>
          <w:szCs w:val="32"/>
        </w:rPr>
        <w:t>三、资料装订</w:t>
      </w:r>
    </w:p>
    <w:p>
      <w:pPr>
        <w:widowControl/>
        <w:shd w:val="clear" w:color="auto" w:fill="FFFFFF"/>
        <w:ind w:firstLine="640" w:firstLineChars="200"/>
        <w:rPr>
          <w:rFonts w:ascii="仿宋_GB2312" w:hAnsi="微软雅黑" w:eastAsia="仿宋_GB2312"/>
          <w:kern w:val="0"/>
          <w:sz w:val="32"/>
          <w:szCs w:val="32"/>
        </w:rPr>
      </w:pPr>
      <w:r>
        <w:rPr>
          <w:rFonts w:hint="eastAsia" w:ascii="仿宋_GB2312" w:hAnsi="微软雅黑" w:eastAsia="仿宋_GB2312"/>
          <w:kern w:val="0"/>
          <w:sz w:val="32"/>
          <w:szCs w:val="32"/>
        </w:rPr>
        <w:t>1.响应资料须胶装，不能使用活页装订，并在封面标明“正本”或“副本”。</w:t>
      </w:r>
    </w:p>
    <w:p>
      <w:pPr>
        <w:widowControl/>
        <w:shd w:val="clear" w:color="auto" w:fill="FFFFFF"/>
        <w:ind w:firstLine="640" w:firstLineChars="200"/>
        <w:rPr>
          <w:rFonts w:ascii="仿宋_GB2312" w:hAnsi="微软雅黑" w:eastAsia="仿宋_GB2312"/>
          <w:kern w:val="0"/>
          <w:sz w:val="32"/>
          <w:szCs w:val="32"/>
        </w:rPr>
      </w:pPr>
      <w:r>
        <w:rPr>
          <w:rFonts w:hint="eastAsia" w:ascii="仿宋_GB2312" w:hAnsi="微软雅黑" w:eastAsia="仿宋_GB2312"/>
          <w:kern w:val="0"/>
          <w:sz w:val="32"/>
          <w:szCs w:val="32"/>
        </w:rPr>
        <w:t>2.纸质版资料及存储电子版本的介质（光盘）应封装在密封袋中，并在密封袋封口处加贴密封条加盖公章。</w:t>
      </w:r>
    </w:p>
    <w:p>
      <w:pPr>
        <w:widowControl/>
        <w:shd w:val="clear" w:color="auto" w:fill="FFFFFF"/>
        <w:ind w:firstLine="640" w:firstLineChars="200"/>
        <w:rPr>
          <w:rFonts w:ascii="仿宋_GB2312" w:hAnsi="微软雅黑" w:eastAsia="仿宋_GB2312"/>
          <w:kern w:val="0"/>
          <w:sz w:val="32"/>
          <w:szCs w:val="32"/>
        </w:rPr>
      </w:pPr>
      <w:r>
        <w:rPr>
          <w:rFonts w:hint="eastAsia" w:ascii="仿宋_GB2312" w:hAnsi="微软雅黑" w:eastAsia="仿宋_GB2312"/>
          <w:kern w:val="0"/>
          <w:sz w:val="32"/>
          <w:szCs w:val="32"/>
        </w:rPr>
        <w:t>3.密封袋外层应标（注）明响应人名称，并加盖公章。</w:t>
      </w:r>
    </w:p>
    <w:p>
      <w:pPr>
        <w:widowControl/>
        <w:shd w:val="clear" w:color="auto" w:fill="FFFFFF"/>
        <w:ind w:firstLine="640" w:firstLineChars="200"/>
        <w:rPr>
          <w:rFonts w:ascii="仿宋_GB2312" w:eastAsia="仿宋_GB2312"/>
          <w:sz w:val="32"/>
          <w:szCs w:val="32"/>
        </w:rPr>
      </w:pPr>
      <w:r>
        <w:rPr>
          <w:rFonts w:hint="eastAsia" w:ascii="仿宋_GB2312" w:hAnsi="微软雅黑" w:eastAsia="仿宋_GB2312"/>
          <w:kern w:val="0"/>
          <w:sz w:val="32"/>
          <w:szCs w:val="32"/>
        </w:rPr>
        <w:t>4.如未在规定时间和地点递交遴选资料，则视为放弃。</w:t>
      </w:r>
    </w:p>
    <w:p>
      <w:pPr>
        <w:widowControl/>
        <w:ind w:right="640"/>
      </w:pPr>
    </w:p>
    <w:sectPr>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仿宋_GB2312">
    <w:altName w:val="方正仿宋_GBK"/>
    <w:panose1 w:val="02010609030101010101"/>
    <w:charset w:val="86"/>
    <w:family w:val="modern"/>
    <w:pitch w:val="default"/>
    <w:sig w:usb0="00000000" w:usb1="00000000" w:usb2="00000010" w:usb3="00000000" w:csb0="00040000" w:csb1="00000000"/>
  </w:font>
  <w:font w:name="CESI仿宋-GB2312">
    <w:panose1 w:val="02000500000000000000"/>
    <w:charset w:val="86"/>
    <w:family w:val="auto"/>
    <w:pitch w:val="default"/>
    <w:sig w:usb0="800002AF" w:usb1="084F6CF8" w:usb2="00000010" w:usb3="00000000" w:csb0="0004000F" w:csb1="00000000"/>
  </w:font>
  <w:font w:name="Dotum">
    <w:altName w:val="方正书宋_GBK"/>
    <w:panose1 w:val="020B0600000101010101"/>
    <w:charset w:val="81"/>
    <w:family w:val="swiss"/>
    <w:pitch w:val="default"/>
    <w:sig w:usb0="00000000" w:usb1="00000000" w:usb2="00000030" w:usb3="00000000" w:csb0="000800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5"/>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BYAAABkcnMvUEsBAhQA&#10;FAAAAAgAh07iQLl1uVLQAAAABQEAAA8AAAAAAAAAAQAgAAAAOAAAAGRycy9kb3ducmV2LnhtbFBL&#10;AQIUABQAAAAIAIdO4kAp2sfvrwEAAEQDAAAOAAAAAAAAAAEAIAAAADUBAABkcnMvZTJvRG9jLnht&#10;bFBLBQYAAAAABgAGAFkBAABWBQAAAAA=&#10;">
              <v:fill on="f" focussize="0,0"/>
              <v:stroke on="f"/>
              <v:imagedata o:title=""/>
              <o:lock v:ext="edit" aspectratio="f"/>
              <v:textbox inset="0mm,0mm,0mm,0mm" style="mso-fit-shape-to-text:t;">
                <w:txbxContent>
                  <w:p>
                    <w:pPr>
                      <w:pStyle w:val="5"/>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FE4807"/>
    <w:multiLevelType w:val="singleLevel"/>
    <w:tmpl w:val="BAFE4807"/>
    <w:lvl w:ilvl="0" w:tentative="0">
      <w:start w:val="2"/>
      <w:numFmt w:val="decimal"/>
      <w:suff w:val="space"/>
      <w:lvlText w:val="%1."/>
      <w:lvlJc w:val="left"/>
    </w:lvl>
  </w:abstractNum>
  <w:abstractNum w:abstractNumId="1">
    <w:nsid w:val="D1DB84D3"/>
    <w:multiLevelType w:val="singleLevel"/>
    <w:tmpl w:val="D1DB84D3"/>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trackRevisions w:val="true"/>
  <w:documentProtection w:enforcement="0"/>
  <w:defaultTabStop w:val="420"/>
  <w:drawingGridHorizontalSpacing w:val="105"/>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192"/>
    <w:rsid w:val="000004EA"/>
    <w:rsid w:val="00001133"/>
    <w:rsid w:val="00003AC7"/>
    <w:rsid w:val="000305A8"/>
    <w:rsid w:val="000521A3"/>
    <w:rsid w:val="00066136"/>
    <w:rsid w:val="00073669"/>
    <w:rsid w:val="00074198"/>
    <w:rsid w:val="00080692"/>
    <w:rsid w:val="000A678B"/>
    <w:rsid w:val="000C60F3"/>
    <w:rsid w:val="000D0663"/>
    <w:rsid w:val="000E2F1F"/>
    <w:rsid w:val="001060A3"/>
    <w:rsid w:val="001100E8"/>
    <w:rsid w:val="00132315"/>
    <w:rsid w:val="00134AEE"/>
    <w:rsid w:val="00191ED8"/>
    <w:rsid w:val="001A4C64"/>
    <w:rsid w:val="001C7A57"/>
    <w:rsid w:val="001F7B20"/>
    <w:rsid w:val="00213BA6"/>
    <w:rsid w:val="00257010"/>
    <w:rsid w:val="002665D4"/>
    <w:rsid w:val="002857D0"/>
    <w:rsid w:val="002F0D25"/>
    <w:rsid w:val="00312FCF"/>
    <w:rsid w:val="00321C32"/>
    <w:rsid w:val="00333362"/>
    <w:rsid w:val="00337C57"/>
    <w:rsid w:val="00357BAF"/>
    <w:rsid w:val="003B7C2B"/>
    <w:rsid w:val="003F4CFF"/>
    <w:rsid w:val="004420B7"/>
    <w:rsid w:val="0046541E"/>
    <w:rsid w:val="004B1BEB"/>
    <w:rsid w:val="004D6DFF"/>
    <w:rsid w:val="004F14E7"/>
    <w:rsid w:val="00521FB4"/>
    <w:rsid w:val="00542B63"/>
    <w:rsid w:val="005521BD"/>
    <w:rsid w:val="005641CE"/>
    <w:rsid w:val="00574192"/>
    <w:rsid w:val="00584F4D"/>
    <w:rsid w:val="005979AD"/>
    <w:rsid w:val="005C40CD"/>
    <w:rsid w:val="005D2AA2"/>
    <w:rsid w:val="005E48B3"/>
    <w:rsid w:val="00611DEC"/>
    <w:rsid w:val="00686500"/>
    <w:rsid w:val="00697FA8"/>
    <w:rsid w:val="006B3C6B"/>
    <w:rsid w:val="006B46AB"/>
    <w:rsid w:val="006D1E31"/>
    <w:rsid w:val="006E201F"/>
    <w:rsid w:val="00704228"/>
    <w:rsid w:val="007C191E"/>
    <w:rsid w:val="007C6BB2"/>
    <w:rsid w:val="007D7FC0"/>
    <w:rsid w:val="007E18AB"/>
    <w:rsid w:val="00821C63"/>
    <w:rsid w:val="00854C5F"/>
    <w:rsid w:val="00862C84"/>
    <w:rsid w:val="00864A46"/>
    <w:rsid w:val="00875D66"/>
    <w:rsid w:val="008E4841"/>
    <w:rsid w:val="008E6566"/>
    <w:rsid w:val="00924E56"/>
    <w:rsid w:val="00951454"/>
    <w:rsid w:val="0095328A"/>
    <w:rsid w:val="00994DB2"/>
    <w:rsid w:val="009A639A"/>
    <w:rsid w:val="009A72FE"/>
    <w:rsid w:val="009B3B8E"/>
    <w:rsid w:val="009D2794"/>
    <w:rsid w:val="009E55E8"/>
    <w:rsid w:val="009F0F0C"/>
    <w:rsid w:val="009F1204"/>
    <w:rsid w:val="009F3C57"/>
    <w:rsid w:val="00A03C8E"/>
    <w:rsid w:val="00A72438"/>
    <w:rsid w:val="00A916C4"/>
    <w:rsid w:val="00AA4B41"/>
    <w:rsid w:val="00AB5B3B"/>
    <w:rsid w:val="00B0365D"/>
    <w:rsid w:val="00B23D2F"/>
    <w:rsid w:val="00B26620"/>
    <w:rsid w:val="00B413B2"/>
    <w:rsid w:val="00B523D2"/>
    <w:rsid w:val="00B703CE"/>
    <w:rsid w:val="00B91457"/>
    <w:rsid w:val="00B9585A"/>
    <w:rsid w:val="00BB2EE6"/>
    <w:rsid w:val="00BB4C3B"/>
    <w:rsid w:val="00C054E8"/>
    <w:rsid w:val="00C32879"/>
    <w:rsid w:val="00C359B5"/>
    <w:rsid w:val="00C570BB"/>
    <w:rsid w:val="00C64033"/>
    <w:rsid w:val="00CB0017"/>
    <w:rsid w:val="00CC19F9"/>
    <w:rsid w:val="00CE0C9F"/>
    <w:rsid w:val="00CE1D93"/>
    <w:rsid w:val="00CF050D"/>
    <w:rsid w:val="00D00966"/>
    <w:rsid w:val="00D0289E"/>
    <w:rsid w:val="00D17115"/>
    <w:rsid w:val="00D23CA5"/>
    <w:rsid w:val="00D23DFE"/>
    <w:rsid w:val="00D34D61"/>
    <w:rsid w:val="00D44941"/>
    <w:rsid w:val="00D52AB6"/>
    <w:rsid w:val="00D7419B"/>
    <w:rsid w:val="00D80D73"/>
    <w:rsid w:val="00DB3D01"/>
    <w:rsid w:val="00DF56A2"/>
    <w:rsid w:val="00E31F63"/>
    <w:rsid w:val="00E35045"/>
    <w:rsid w:val="00E75191"/>
    <w:rsid w:val="00ED0832"/>
    <w:rsid w:val="00ED5A93"/>
    <w:rsid w:val="00EF29FB"/>
    <w:rsid w:val="00F207CF"/>
    <w:rsid w:val="00F70850"/>
    <w:rsid w:val="00F751D6"/>
    <w:rsid w:val="00FC01B7"/>
    <w:rsid w:val="00FE3131"/>
    <w:rsid w:val="00FF73B8"/>
    <w:rsid w:val="0EF09DD2"/>
    <w:rsid w:val="130F43B9"/>
    <w:rsid w:val="1DBFD0FA"/>
    <w:rsid w:val="1EF45D64"/>
    <w:rsid w:val="1FEC4FED"/>
    <w:rsid w:val="22EAB9A2"/>
    <w:rsid w:val="25FBAC2D"/>
    <w:rsid w:val="276344E6"/>
    <w:rsid w:val="2BBF7DA9"/>
    <w:rsid w:val="2BDFDAA4"/>
    <w:rsid w:val="2FDB54A1"/>
    <w:rsid w:val="2FDF99B7"/>
    <w:rsid w:val="2FFF88A4"/>
    <w:rsid w:val="335DCF4D"/>
    <w:rsid w:val="33E67896"/>
    <w:rsid w:val="367FDB19"/>
    <w:rsid w:val="36FED70D"/>
    <w:rsid w:val="37FFEED8"/>
    <w:rsid w:val="39FA7C87"/>
    <w:rsid w:val="3AFF1CA4"/>
    <w:rsid w:val="3B6BDE5E"/>
    <w:rsid w:val="3B7AAB10"/>
    <w:rsid w:val="3B9D60F1"/>
    <w:rsid w:val="3D775C8B"/>
    <w:rsid w:val="3D92D827"/>
    <w:rsid w:val="3DEB2BD3"/>
    <w:rsid w:val="3E35C869"/>
    <w:rsid w:val="3F397183"/>
    <w:rsid w:val="3F7C07FB"/>
    <w:rsid w:val="3F7FB987"/>
    <w:rsid w:val="3FDA0B6C"/>
    <w:rsid w:val="47EC6EDE"/>
    <w:rsid w:val="4EABD806"/>
    <w:rsid w:val="5367D1BD"/>
    <w:rsid w:val="53DFC7AB"/>
    <w:rsid w:val="53E82A3A"/>
    <w:rsid w:val="56EB162E"/>
    <w:rsid w:val="56F00297"/>
    <w:rsid w:val="57DFC18D"/>
    <w:rsid w:val="5ABDE4E4"/>
    <w:rsid w:val="5AFFE41B"/>
    <w:rsid w:val="5B4BCDDA"/>
    <w:rsid w:val="5CFD5DE5"/>
    <w:rsid w:val="5DFA0019"/>
    <w:rsid w:val="5EFA15B3"/>
    <w:rsid w:val="5F575209"/>
    <w:rsid w:val="5FF76292"/>
    <w:rsid w:val="62FB787F"/>
    <w:rsid w:val="647FE5FD"/>
    <w:rsid w:val="6ABF9905"/>
    <w:rsid w:val="6C07B879"/>
    <w:rsid w:val="6CADBCDB"/>
    <w:rsid w:val="6DBFBC75"/>
    <w:rsid w:val="6DCF71A9"/>
    <w:rsid w:val="6DFECD51"/>
    <w:rsid w:val="6E762805"/>
    <w:rsid w:val="6EBE00E1"/>
    <w:rsid w:val="716FA6B8"/>
    <w:rsid w:val="72F75339"/>
    <w:rsid w:val="74FE95E1"/>
    <w:rsid w:val="75FFBEE4"/>
    <w:rsid w:val="76FDCAD9"/>
    <w:rsid w:val="77BDC538"/>
    <w:rsid w:val="77D99DB8"/>
    <w:rsid w:val="77F7AD83"/>
    <w:rsid w:val="79BFE9BA"/>
    <w:rsid w:val="7AE39FA1"/>
    <w:rsid w:val="7B7BD3FA"/>
    <w:rsid w:val="7BFB25B2"/>
    <w:rsid w:val="7D647DF1"/>
    <w:rsid w:val="7DFBC4A9"/>
    <w:rsid w:val="7E2124BB"/>
    <w:rsid w:val="7E2D4BED"/>
    <w:rsid w:val="7E54E091"/>
    <w:rsid w:val="7E5F902B"/>
    <w:rsid w:val="7E7CC8A9"/>
    <w:rsid w:val="7E7E000F"/>
    <w:rsid w:val="7EF7036E"/>
    <w:rsid w:val="7EF7772B"/>
    <w:rsid w:val="7EF920C5"/>
    <w:rsid w:val="7EFBE457"/>
    <w:rsid w:val="7F7DA713"/>
    <w:rsid w:val="7FBB9DFC"/>
    <w:rsid w:val="7FBFF83E"/>
    <w:rsid w:val="7FE70614"/>
    <w:rsid w:val="7FE72E3F"/>
    <w:rsid w:val="7FE79E57"/>
    <w:rsid w:val="7FEF8696"/>
    <w:rsid w:val="7FFA5400"/>
    <w:rsid w:val="7FFD3D14"/>
    <w:rsid w:val="871DAA47"/>
    <w:rsid w:val="8D4F031C"/>
    <w:rsid w:val="8DF72E4F"/>
    <w:rsid w:val="93FE3B1C"/>
    <w:rsid w:val="97E7CB20"/>
    <w:rsid w:val="9C7BE8E7"/>
    <w:rsid w:val="9D4FEEB0"/>
    <w:rsid w:val="9F7712C5"/>
    <w:rsid w:val="A7DB2C51"/>
    <w:rsid w:val="AFF5DF5A"/>
    <w:rsid w:val="AFF7F6B0"/>
    <w:rsid w:val="B3EA625A"/>
    <w:rsid w:val="B4FF9581"/>
    <w:rsid w:val="B7F7E84C"/>
    <w:rsid w:val="BAB12C95"/>
    <w:rsid w:val="BDE76765"/>
    <w:rsid w:val="BF2DDB20"/>
    <w:rsid w:val="BFB9B5F5"/>
    <w:rsid w:val="BFD7A04D"/>
    <w:rsid w:val="C7BB490F"/>
    <w:rsid w:val="C7BF086E"/>
    <w:rsid w:val="CBB7C7C6"/>
    <w:rsid w:val="CBFF4CE7"/>
    <w:rsid w:val="CD7F3E0E"/>
    <w:rsid w:val="CFBF8521"/>
    <w:rsid w:val="CFBFF6C1"/>
    <w:rsid w:val="CFFF9DF3"/>
    <w:rsid w:val="D5DF448C"/>
    <w:rsid w:val="D5FB475F"/>
    <w:rsid w:val="D7FCFA09"/>
    <w:rsid w:val="D7FFD72E"/>
    <w:rsid w:val="D7FFDA5A"/>
    <w:rsid w:val="D9F497E1"/>
    <w:rsid w:val="DB6644CA"/>
    <w:rsid w:val="DDD7E0C1"/>
    <w:rsid w:val="DDF9B262"/>
    <w:rsid w:val="DF99A6AB"/>
    <w:rsid w:val="DFB70A17"/>
    <w:rsid w:val="DFBD2F7D"/>
    <w:rsid w:val="DFEBF95F"/>
    <w:rsid w:val="DFEFA72E"/>
    <w:rsid w:val="DFFF810B"/>
    <w:rsid w:val="E2B58479"/>
    <w:rsid w:val="E45F04A0"/>
    <w:rsid w:val="E5DDD999"/>
    <w:rsid w:val="E7FD72B7"/>
    <w:rsid w:val="E9DFC8F8"/>
    <w:rsid w:val="EBFE8572"/>
    <w:rsid w:val="EDDBDF04"/>
    <w:rsid w:val="EDFD251E"/>
    <w:rsid w:val="EF7985E6"/>
    <w:rsid w:val="F2F70AA2"/>
    <w:rsid w:val="F3FFB445"/>
    <w:rsid w:val="F5F73CD1"/>
    <w:rsid w:val="F6751D89"/>
    <w:rsid w:val="F6FE25E7"/>
    <w:rsid w:val="F73FF740"/>
    <w:rsid w:val="F7B93A85"/>
    <w:rsid w:val="F976E766"/>
    <w:rsid w:val="FA99AA07"/>
    <w:rsid w:val="FAD9B2EF"/>
    <w:rsid w:val="FAF7FB97"/>
    <w:rsid w:val="FBBA8563"/>
    <w:rsid w:val="FBBC93C1"/>
    <w:rsid w:val="FD7E0317"/>
    <w:rsid w:val="FDDF2CA8"/>
    <w:rsid w:val="FDF544EA"/>
    <w:rsid w:val="FE7F677E"/>
    <w:rsid w:val="FEDED117"/>
    <w:rsid w:val="FEDF1FBD"/>
    <w:rsid w:val="FEF7B45A"/>
    <w:rsid w:val="FEFD6A5F"/>
    <w:rsid w:val="FEFFBC55"/>
    <w:rsid w:val="FF1F51B9"/>
    <w:rsid w:val="FF23D817"/>
    <w:rsid w:val="FF3EA8D1"/>
    <w:rsid w:val="FF521407"/>
    <w:rsid w:val="FF7E82E0"/>
    <w:rsid w:val="FF7F4FEB"/>
    <w:rsid w:val="FFBE05B5"/>
    <w:rsid w:val="FFD308AB"/>
    <w:rsid w:val="FFDF6FE4"/>
    <w:rsid w:val="FFEC864A"/>
    <w:rsid w:val="FFFBD09E"/>
    <w:rsid w:val="FFFD1AD0"/>
    <w:rsid w:val="FFFF5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99"/>
    <w:pPr>
      <w:jc w:val="left"/>
    </w:pPr>
  </w:style>
  <w:style w:type="paragraph" w:styleId="3">
    <w:name w:val="Body Text Indent"/>
    <w:basedOn w:val="1"/>
    <w:qFormat/>
    <w:uiPriority w:val="99"/>
    <w:pPr>
      <w:spacing w:after="120"/>
      <w:ind w:left="420" w:leftChars="200"/>
    </w:pPr>
  </w:style>
  <w:style w:type="paragraph" w:styleId="4">
    <w:name w:val="Balloon Text"/>
    <w:basedOn w:val="1"/>
    <w:link w:val="17"/>
    <w:qFormat/>
    <w:uiPriority w:val="99"/>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styleId="8">
    <w:name w:val="annotation subject"/>
    <w:basedOn w:val="2"/>
    <w:next w:val="2"/>
    <w:link w:val="16"/>
    <w:qFormat/>
    <w:uiPriority w:val="99"/>
    <w:rPr>
      <w:b/>
      <w:bCs/>
    </w:rPr>
  </w:style>
  <w:style w:type="paragraph" w:styleId="9">
    <w:name w:val="Body Text First Indent 2"/>
    <w:basedOn w:val="3"/>
    <w:qFormat/>
    <w:uiPriority w:val="99"/>
    <w:pPr>
      <w:ind w:firstLine="420" w:firstLineChars="200"/>
    </w:pPr>
  </w:style>
  <w:style w:type="character" w:styleId="12">
    <w:name w:val="annotation reference"/>
    <w:basedOn w:val="11"/>
    <w:qFormat/>
    <w:uiPriority w:val="99"/>
    <w:rPr>
      <w:sz w:val="21"/>
      <w:szCs w:val="21"/>
    </w:rPr>
  </w:style>
  <w:style w:type="character" w:customStyle="1" w:styleId="13">
    <w:name w:val="页眉 Char"/>
    <w:basedOn w:val="11"/>
    <w:link w:val="6"/>
    <w:qFormat/>
    <w:uiPriority w:val="99"/>
    <w:rPr>
      <w:sz w:val="18"/>
      <w:szCs w:val="18"/>
    </w:rPr>
  </w:style>
  <w:style w:type="character" w:customStyle="1" w:styleId="14">
    <w:name w:val="页脚 Char"/>
    <w:basedOn w:val="11"/>
    <w:link w:val="5"/>
    <w:qFormat/>
    <w:uiPriority w:val="99"/>
    <w:rPr>
      <w:sz w:val="18"/>
      <w:szCs w:val="18"/>
    </w:rPr>
  </w:style>
  <w:style w:type="character" w:customStyle="1" w:styleId="15">
    <w:name w:val="批注文字 Char"/>
    <w:basedOn w:val="11"/>
    <w:link w:val="2"/>
    <w:qFormat/>
    <w:uiPriority w:val="99"/>
  </w:style>
  <w:style w:type="character" w:customStyle="1" w:styleId="16">
    <w:name w:val="批注主题 Char"/>
    <w:basedOn w:val="15"/>
    <w:link w:val="8"/>
    <w:qFormat/>
    <w:uiPriority w:val="99"/>
    <w:rPr>
      <w:b/>
      <w:bCs/>
    </w:rPr>
  </w:style>
  <w:style w:type="character" w:customStyle="1" w:styleId="17">
    <w:name w:val="批注框文本 Char"/>
    <w:basedOn w:val="11"/>
    <w:link w:val="4"/>
    <w:qFormat/>
    <w:uiPriority w:val="99"/>
    <w:rPr>
      <w:sz w:val="18"/>
      <w:szCs w:val="18"/>
    </w:rPr>
  </w:style>
  <w:style w:type="paragraph" w:customStyle="1" w:styleId="18">
    <w:name w:val="List Paragraph1"/>
    <w:basedOn w:val="1"/>
    <w:qFormat/>
    <w:uiPriority w:val="0"/>
    <w:pPr>
      <w:ind w:firstLine="420" w:firstLineChars="200"/>
    </w:pPr>
    <w:rPr>
      <w:rFonts w:cs="Times New Roman"/>
    </w:rPr>
  </w:style>
  <w:style w:type="paragraph" w:styleId="19">
    <w:name w:val="List Paragraph"/>
    <w:basedOn w:val="1"/>
    <w:qFormat/>
    <w:uiPriority w:val="34"/>
    <w:pPr>
      <w:ind w:firstLine="420" w:firstLineChars="200"/>
    </w:pPr>
  </w:style>
  <w:style w:type="paragraph" w:customStyle="1" w:styleId="20">
    <w:name w:val="修订1"/>
    <w:hidden/>
    <w:semiHidden/>
    <w:qFormat/>
    <w:uiPriority w:val="99"/>
    <w:rPr>
      <w:rFonts w:ascii="Calibri" w:hAnsi="Calibri"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Pages>
  <Words>604</Words>
  <Characters>3447</Characters>
  <Lines>28</Lines>
  <Paragraphs>8</Paragraphs>
  <TotalTime>39</TotalTime>
  <ScaleCrop>false</ScaleCrop>
  <LinksUpToDate>false</LinksUpToDate>
  <CharactersWithSpaces>4043</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2019-12-30T10:50:00Z</dcterms:created>
  <dc:creator>微软用户</dc:creator>
  <cp:lastModifiedBy>hszx</cp:lastModifiedBy>
  <cp:lastPrinted>2026-07-23T07:42:00Z</cp:lastPrinted>
  <dcterms:modified xsi:type="dcterms:W3CDTF">2026-07-28T11:50:16Z</dcterms:modified>
  <cp:revision>430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04e2ba5bcaf842a9857d73e0847d521a</vt:lpwstr>
  </property>
</Properties>
</file>