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 w:hAnsi="仿宋" w:eastAsia="仿宋" w:cs="宋体"/>
          <w:kern w:val="0"/>
          <w:sz w:val="32"/>
          <w:szCs w:val="32"/>
          <w:highlight w:val="none"/>
        </w:rPr>
      </w:pPr>
      <w:r>
        <w:rPr>
          <w:rFonts w:hint="eastAsia" w:ascii="方正黑体_GBK" w:hAnsi="方正黑体_GBK" w:eastAsia="方正黑体_GBK" w:cs="方正黑体_GBK"/>
          <w:kern w:val="0"/>
          <w:sz w:val="32"/>
          <w:szCs w:val="32"/>
          <w:highlight w:val="none"/>
        </w:rPr>
        <w:t>附件：</w:t>
      </w:r>
    </w:p>
    <w:p>
      <w:pPr>
        <w:widowControl/>
        <w:snapToGrid w:val="0"/>
        <w:rPr>
          <w:rFonts w:ascii="方正小标宋简体" w:hAnsi="微软雅黑" w:eastAsia="方正小标宋简体" w:cs="宋体"/>
          <w:bCs/>
          <w:kern w:val="0"/>
          <w:sz w:val="44"/>
          <w:szCs w:val="44"/>
          <w:highlight w:val="none"/>
        </w:rPr>
      </w:pPr>
    </w:p>
    <w:p>
      <w:pPr>
        <w:widowControl/>
        <w:snapToGrid w:val="0"/>
        <w:jc w:val="center"/>
        <w:rPr>
          <w:rFonts w:ascii="方正小标宋简体" w:hAnsi="黑体" w:eastAsia="方正小标宋简体" w:cs="宋体"/>
          <w:bCs/>
          <w:kern w:val="0"/>
          <w:sz w:val="44"/>
          <w:szCs w:val="44"/>
          <w:highlight w:val="none"/>
        </w:rPr>
      </w:pPr>
      <w:r>
        <w:rPr>
          <w:rFonts w:hint="eastAsia" w:ascii="方正小标宋简体" w:hAnsi="黑体" w:eastAsia="方正小标宋简体" w:cs="宋体"/>
          <w:bCs/>
          <w:kern w:val="0"/>
          <w:sz w:val="44"/>
          <w:szCs w:val="44"/>
          <w:highlight w:val="none"/>
        </w:rPr>
        <w:t>北京市卫生健康委员会会计核算服务中心</w:t>
      </w:r>
    </w:p>
    <w:p>
      <w:pPr>
        <w:widowControl/>
        <w:snapToGrid w:val="0"/>
        <w:jc w:val="center"/>
        <w:rPr>
          <w:rFonts w:ascii="方正小标宋简体" w:hAnsi="黑体" w:eastAsia="方正小标宋简体" w:cs="宋体"/>
          <w:bCs/>
          <w:kern w:val="0"/>
          <w:sz w:val="44"/>
          <w:szCs w:val="44"/>
          <w:highlight w:val="none"/>
        </w:rPr>
      </w:pPr>
      <w:r>
        <w:rPr>
          <w:rFonts w:hint="eastAsia" w:ascii="方正小标宋简体" w:hAnsi="黑体" w:eastAsia="方正小标宋简体" w:cs="宋体"/>
          <w:bCs/>
          <w:kern w:val="0"/>
          <w:sz w:val="44"/>
          <w:szCs w:val="44"/>
          <w:highlight w:val="none"/>
        </w:rPr>
        <w:t>关于行业财经数据精细化监管-等保测评</w:t>
      </w:r>
    </w:p>
    <w:p>
      <w:pPr>
        <w:widowControl/>
        <w:snapToGrid w:val="0"/>
        <w:jc w:val="center"/>
        <w:rPr>
          <w:rFonts w:ascii="黑体" w:hAnsi="黑体" w:eastAsia="黑体" w:cs="宋体"/>
          <w:bCs/>
          <w:kern w:val="0"/>
          <w:sz w:val="44"/>
          <w:szCs w:val="44"/>
          <w:highlight w:val="none"/>
        </w:rPr>
      </w:pPr>
      <w:r>
        <w:rPr>
          <w:rFonts w:hint="eastAsia" w:ascii="方正小标宋简体" w:hAnsi="黑体" w:eastAsia="方正小标宋简体" w:cs="宋体"/>
          <w:bCs/>
          <w:kern w:val="0"/>
          <w:sz w:val="44"/>
          <w:szCs w:val="44"/>
          <w:highlight w:val="none"/>
        </w:rPr>
        <w:t>项目遴选文件</w:t>
      </w:r>
    </w:p>
    <w:p>
      <w:pPr>
        <w:widowControl/>
        <w:ind w:firstLine="640" w:firstLineChars="200"/>
        <w:rPr>
          <w:rFonts w:ascii="仿宋" w:hAnsi="仿宋" w:eastAsia="仿宋" w:cs="宋体"/>
          <w:kern w:val="0"/>
          <w:sz w:val="32"/>
          <w:szCs w:val="32"/>
          <w:highlight w:val="none"/>
        </w:rPr>
      </w:pP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为保障北京市卫生健康委员会会计核算服务中心（以下简称会计核算中心）“行业财经数据精细化监管</w:t>
      </w:r>
      <w:r>
        <w:rPr>
          <w:rFonts w:ascii="仿宋_GB2312" w:hAnsi="仿宋" w:eastAsia="仿宋_GB2312"/>
          <w:sz w:val="32"/>
          <w:szCs w:val="32"/>
          <w:highlight w:val="none"/>
        </w:rPr>
        <w:t>-等保测评</w:t>
      </w:r>
      <w:r>
        <w:rPr>
          <w:rFonts w:hint="eastAsia" w:ascii="仿宋_GB2312" w:hAnsi="仿宋" w:eastAsia="仿宋_GB2312"/>
          <w:sz w:val="32"/>
          <w:szCs w:val="32"/>
          <w:highlight w:val="none"/>
        </w:rPr>
        <w:t>”项目工作顺利开展，现面向社会公开遴选项目的第三方服务机构，有关事项公告如下：</w:t>
      </w:r>
    </w:p>
    <w:p>
      <w:pPr>
        <w:pStyle w:val="4"/>
        <w:numPr>
          <w:ilvl w:val="255"/>
          <w:numId w:val="0"/>
        </w:numPr>
        <w:adjustRightInd/>
        <w:spacing w:before="120" w:after="120" w:line="660" w:lineRule="exact"/>
        <w:ind w:firstLine="640" w:firstLineChars="20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一、委托单位</w:t>
      </w:r>
    </w:p>
    <w:p>
      <w:pPr>
        <w:widowControl/>
        <w:spacing w:line="660" w:lineRule="exact"/>
        <w:ind w:firstLine="640" w:firstLineChars="200"/>
        <w:rPr>
          <w:rFonts w:ascii="仿宋" w:hAnsi="仿宋" w:eastAsia="仿宋" w:cs="宋体"/>
          <w:kern w:val="0"/>
          <w:sz w:val="32"/>
          <w:szCs w:val="32"/>
          <w:highlight w:val="none"/>
        </w:rPr>
      </w:pPr>
      <w:r>
        <w:rPr>
          <w:rFonts w:hint="eastAsia" w:ascii="仿宋_GB2312" w:hAnsi="仿宋" w:eastAsia="仿宋_GB2312"/>
          <w:sz w:val="32"/>
          <w:szCs w:val="32"/>
          <w:highlight w:val="none"/>
        </w:rPr>
        <w:t>北京市卫生健康委员会会计核算服务中心</w:t>
      </w:r>
    </w:p>
    <w:p>
      <w:pPr>
        <w:pStyle w:val="4"/>
        <w:numPr>
          <w:ilvl w:val="255"/>
          <w:numId w:val="0"/>
        </w:numPr>
        <w:adjustRightInd/>
        <w:spacing w:before="120" w:after="120" w:line="660" w:lineRule="exact"/>
        <w:ind w:firstLine="640" w:firstLineChars="20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二、项目背景</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网络安全等级保护是国家信息安全保障的基本制度、基本策略、基本方法。开展网络安全等级保护工作是保护信息化发展、维护信息安全的根本保障，是信息安全保障工作中国家意志的体现。根据《网络安全法》规定，运营、使用单位或者其主管部门应当按照网络安全等级保护制度的要求，履行网络安全保护义务，保障网络免受干扰、破坏或者未经授权的访问，防止网络数据泄露或者被窃取、篡改，并依据《网络安全等级保护基本要求》等技术标准，定期对信息系统安全等级状况开展等级测评工作。</w:t>
      </w:r>
    </w:p>
    <w:p>
      <w:pPr>
        <w:widowControl/>
        <w:spacing w:line="660" w:lineRule="exact"/>
        <w:ind w:firstLine="640" w:firstLineChars="200"/>
        <w:rPr>
          <w:rFonts w:ascii="仿宋" w:hAnsi="仿宋" w:eastAsia="仿宋" w:cs="宋体"/>
          <w:kern w:val="0"/>
          <w:sz w:val="32"/>
          <w:szCs w:val="32"/>
          <w:highlight w:val="none"/>
        </w:rPr>
      </w:pPr>
      <w:r>
        <w:rPr>
          <w:rFonts w:hint="eastAsia" w:ascii="仿宋_GB2312" w:hAnsi="仿宋" w:eastAsia="仿宋_GB2312"/>
          <w:sz w:val="32"/>
          <w:szCs w:val="32"/>
          <w:highlight w:val="none"/>
        </w:rPr>
        <w:t>医疗行业网络安全是我国网络安全的重要组成部分，受到国家高度重视。党中央、国务院及医疗监管部门陆续出台了一系列信息化安全建设与管理的政策法规，逐步完善医疗行业网络安全体系。卫生部、北京市卫生健康委员会等单位也多次发文，要求落实网络安全等级保护制度，加大重要网络、数据和应用的安全保障力度。</w:t>
      </w:r>
    </w:p>
    <w:p>
      <w:pPr>
        <w:pStyle w:val="4"/>
        <w:numPr>
          <w:ilvl w:val="255"/>
          <w:numId w:val="0"/>
        </w:numPr>
        <w:adjustRightInd/>
        <w:spacing w:before="120" w:after="120" w:line="660" w:lineRule="exact"/>
        <w:ind w:firstLine="640" w:firstLineChars="20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三、项目需求</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根据对本项目需求及建设目标的分析，落实本次项目的总体建设任务如下：</w:t>
      </w:r>
    </w:p>
    <w:p>
      <w:pPr>
        <w:pStyle w:val="2"/>
        <w:numPr>
          <w:ilvl w:val="0"/>
          <w:numId w:val="1"/>
        </w:numPr>
        <w:ind w:left="0" w:leftChars="0" w:firstLine="640"/>
        <w:rPr>
          <w:rFonts w:ascii="仿宋_GB2312" w:hAnsi="仿宋" w:eastAsia="仿宋_GB2312"/>
          <w:sz w:val="32"/>
          <w:szCs w:val="32"/>
          <w:highlight w:val="none"/>
        </w:rPr>
      </w:pPr>
      <w:r>
        <w:rPr>
          <w:rFonts w:hint="eastAsia" w:ascii="仿宋_GB2312" w:hAnsi="仿宋" w:eastAsia="仿宋_GB2312"/>
          <w:sz w:val="32"/>
          <w:szCs w:val="32"/>
          <w:highlight w:val="none"/>
        </w:rPr>
        <w:t>总体要求</w:t>
      </w:r>
    </w:p>
    <w:p>
      <w:pPr>
        <w:pStyle w:val="2"/>
        <w:numPr>
          <w:ilvl w:val="255"/>
          <w:numId w:val="0"/>
        </w:numPr>
        <w:rPr>
          <w:rFonts w:hint="eastAsia" w:ascii="仿宋_GB2312" w:hAnsi="等线" w:eastAsia="仿宋_GB2312"/>
          <w:sz w:val="32"/>
          <w:szCs w:val="32"/>
          <w:highlight w:val="none"/>
        </w:rPr>
      </w:pPr>
      <w:r>
        <w:rPr>
          <w:rFonts w:hint="eastAsia" w:ascii="仿宋_GB2312" w:hAnsi="仿宋" w:eastAsia="仿宋_GB2312"/>
          <w:sz w:val="32"/>
          <w:szCs w:val="32"/>
          <w:highlight w:val="none"/>
        </w:rPr>
        <w:t xml:space="preserve">    </w:t>
      </w:r>
      <w:r>
        <w:rPr>
          <w:rFonts w:hint="eastAsia" w:ascii="仿宋_GB2312" w:hAnsi="等线" w:eastAsia="仿宋_GB2312"/>
          <w:sz w:val="32"/>
          <w:szCs w:val="32"/>
          <w:highlight w:val="none"/>
        </w:rPr>
        <w:t>对医疗服务项目价格信息管理平台开展网络安全等级保护三级测评工作；对北京市卫生局财务人员队伍建设培训管理信息系统、核算中心门户网站</w:t>
      </w:r>
      <w:r>
        <w:rPr>
          <w:rFonts w:hint="eastAsia" w:ascii="仿宋_GB2312" w:hAnsi="等线" w:eastAsia="仿宋_GB2312"/>
          <w:sz w:val="32"/>
          <w:szCs w:val="32"/>
          <w:highlight w:val="none"/>
        </w:rPr>
        <w:t>开展网络安全等级保护二级测评工作。</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（二）等级保护测评咨询</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项目实施过程中为我单位提供全流程测评咨询服务，按照等保2.0相关要求与监管单位要求，结合我单位信息化建设规划等实际情况，针对被测信息系统单独提供咨询建议，出具相应方案，形成《信息系统等级保护整改建议及方案》。</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（三）差距分析</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对被定级或被测的信息系统开展全面梳理，调研了解应用系统网络结构、系统功能、系统使用对象、系统业务数据和系统服务的重要性以及系统现有防护措施、软硬件资产信息等；编制差距测评方案；根据等级保护基本要求对物理、网络、主机、应用、数据和进行差距分析；并根据差距分析结果编写差距分析报告。</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（四）指导完成安全加固工作</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根据《差距分析报告》及《信息系统等级保护整改建议及方案》，根据被测系统实际情况，协助完成安全加固，确保达到等保2.0的审查要求。</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（五）安全管理制度体系完善协助</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根据国家网络安全等级保护相关标准和文件要求，结合系统的安全保护等级，配合完成满足等保2.0合规要求的管理制度。</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（六）渗透测试</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在不影响业务正常开展的前提下，通过模拟黑客攻击的方式，制定</w:t>
      </w:r>
      <w:r>
        <w:rPr>
          <w:rFonts w:ascii="仿宋_GB2312" w:hAnsi="仿宋" w:eastAsia="仿宋_GB2312"/>
          <w:sz w:val="32"/>
          <w:szCs w:val="32"/>
          <w:highlight w:val="none"/>
        </w:rPr>
        <w:t>全面的</w:t>
      </w:r>
      <w:r>
        <w:rPr>
          <w:rFonts w:hint="eastAsia" w:ascii="仿宋_GB2312" w:hAnsi="仿宋" w:eastAsia="仿宋_GB2312"/>
          <w:sz w:val="32"/>
          <w:szCs w:val="32"/>
          <w:highlight w:val="none"/>
        </w:rPr>
        <w:t>渗透测试技术方案</w:t>
      </w:r>
      <w:r>
        <w:rPr>
          <w:rFonts w:ascii="仿宋_GB2312" w:hAnsi="仿宋" w:eastAsia="仿宋_GB2312"/>
          <w:sz w:val="32"/>
          <w:szCs w:val="32"/>
          <w:highlight w:val="none"/>
        </w:rPr>
        <w:t>，</w:t>
      </w:r>
      <w:r>
        <w:rPr>
          <w:rFonts w:hint="eastAsia" w:ascii="仿宋_GB2312" w:hAnsi="仿宋" w:eastAsia="仿宋_GB2312"/>
          <w:sz w:val="32"/>
          <w:szCs w:val="32"/>
          <w:highlight w:val="none"/>
        </w:rPr>
        <w:t>验证医疗服务项目价格信息管理平台、核算中心门户网站、</w:t>
      </w:r>
      <w:r>
        <w:rPr>
          <w:rFonts w:hint="eastAsia" w:ascii="仿宋_GB2312" w:hAnsi="等线" w:eastAsia="仿宋_GB2312"/>
          <w:sz w:val="32"/>
          <w:szCs w:val="32"/>
          <w:highlight w:val="none"/>
        </w:rPr>
        <w:t>北京市卫生局财务人员队伍建设培训管理信息系统</w:t>
      </w:r>
      <w:r>
        <w:rPr>
          <w:rFonts w:hint="eastAsia" w:ascii="仿宋_GB2312" w:hAnsi="仿宋" w:eastAsia="仿宋_GB2312"/>
          <w:sz w:val="32"/>
          <w:szCs w:val="32"/>
          <w:highlight w:val="none"/>
        </w:rPr>
        <w:t>抵御黑客攻击的能力，从而发现信息系统的安全隐患和脆弱点，并提出安全整改建议，以指导相关人员对系统进行安全优化和加固，最终出具渗透测试报告。</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（七）漏洞扫描服务</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在不影响业务正常开展的前提下，利用技术工具对系统进行测试，包括基于网络探测和基于主机审计的漏洞扫描，并出具相应漏洞扫描报告。</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（八）等级保护测评</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整改工作完成后，负责对信息系统按照等保2.0的</w:t>
      </w:r>
      <w:r>
        <w:rPr>
          <w:rFonts w:ascii="仿宋_GB2312" w:hAnsi="仿宋" w:eastAsia="仿宋_GB2312"/>
          <w:sz w:val="32"/>
          <w:szCs w:val="32"/>
          <w:highlight w:val="none"/>
        </w:rPr>
        <w:t>相关</w:t>
      </w:r>
      <w:r>
        <w:rPr>
          <w:rFonts w:hint="eastAsia" w:ascii="仿宋_GB2312" w:hAnsi="仿宋" w:eastAsia="仿宋_GB2312"/>
          <w:sz w:val="32"/>
          <w:szCs w:val="32"/>
          <w:highlight w:val="none"/>
        </w:rPr>
        <w:t>要求进行现场等级保护测评，主要检测和评估信息系统在安全技术、安全管理等方面是否符合已确定的安全等级三级/二级的要求，</w:t>
      </w:r>
      <w:r>
        <w:rPr>
          <w:rFonts w:ascii="仿宋_GB2312" w:hAnsi="仿宋" w:eastAsia="仿宋_GB2312"/>
          <w:sz w:val="32"/>
          <w:szCs w:val="32"/>
          <w:highlight w:val="none"/>
        </w:rPr>
        <w:t>最终</w:t>
      </w:r>
      <w:r>
        <w:rPr>
          <w:rFonts w:hint="eastAsia" w:ascii="仿宋_GB2312" w:hAnsi="仿宋" w:eastAsia="仿宋_GB2312"/>
          <w:sz w:val="32"/>
          <w:szCs w:val="32"/>
          <w:highlight w:val="none"/>
        </w:rPr>
        <w:t>出具公安部门认可的《网络安全等级保护测评报告》。</w:t>
      </w:r>
    </w:p>
    <w:p>
      <w:pPr>
        <w:widowControl/>
        <w:numPr>
          <w:ilvl w:val="255"/>
          <w:numId w:val="0"/>
        </w:numPr>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（九）安全测评</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完成安全测评工作，参照网络安全相关标准，针对系统中的安全计算环境进行测评（主要内容包括：身份鉴别、访问控制、安全审计、入侵防范、恶意代码防范、数据完整性、数据保密性、数据备份恢复、剩余信息保护、个人信息保护10个方面），并提出整改意见，协助安全整改，复测通过，并出具相应安全测评报告。</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（十）其他工作</w:t>
      </w:r>
    </w:p>
    <w:p>
      <w:pPr>
        <w:widowControl/>
        <w:spacing w:line="6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完成上述工作中所需的其他文档工作。</w:t>
      </w:r>
    </w:p>
    <w:p>
      <w:pPr>
        <w:pStyle w:val="4"/>
        <w:numPr>
          <w:ilvl w:val="255"/>
          <w:numId w:val="0"/>
        </w:numPr>
        <w:adjustRightInd/>
        <w:spacing w:before="120" w:after="120" w:line="660" w:lineRule="exact"/>
        <w:ind w:firstLine="640" w:firstLineChars="200"/>
        <w:jc w:val="both"/>
        <w:textAlignment w:val="auto"/>
        <w:rPr>
          <w:rFonts w:ascii="黑体" w:hAnsi="黑体" w:eastAsia="黑体" w:cs="宋体"/>
          <w:sz w:val="24"/>
          <w:szCs w:val="24"/>
          <w:highlight w:val="none"/>
        </w:rPr>
      </w:pPr>
      <w:r>
        <w:rPr>
          <w:rFonts w:hint="eastAsia" w:ascii="黑体" w:hAnsi="黑体" w:eastAsia="黑体" w:cs="宋体"/>
          <w:b w:val="0"/>
          <w:kern w:val="0"/>
          <w:sz w:val="32"/>
          <w:szCs w:val="32"/>
          <w:highlight w:val="none"/>
        </w:rPr>
        <w:t>四、项目技术规范要求</w:t>
      </w:r>
    </w:p>
    <w:p>
      <w:pPr>
        <w:pStyle w:val="19"/>
        <w:numPr>
          <w:ilvl w:val="0"/>
          <w:numId w:val="2"/>
        </w:numPr>
        <w:spacing w:line="660" w:lineRule="exact"/>
        <w:ind w:left="0" w:firstLine="707" w:firstLineChars="221"/>
        <w:rPr>
          <w:rFonts w:ascii="仿宋" w:hAnsi="仿宋" w:eastAsia="仿宋" w:cs="宋体"/>
          <w:kern w:val="0"/>
          <w:sz w:val="32"/>
          <w:szCs w:val="32"/>
          <w:highlight w:val="none"/>
        </w:rPr>
      </w:pPr>
      <w:bookmarkStart w:id="0" w:name="_Toc201050233"/>
      <w:bookmarkStart w:id="1" w:name="_Toc127778001"/>
      <w:bookmarkStart w:id="2" w:name="_Toc198193735"/>
      <w:r>
        <w:rPr>
          <w:rFonts w:hint="eastAsia" w:ascii="仿宋" w:hAnsi="仿宋" w:eastAsia="仿宋" w:cs="宋体"/>
          <w:kern w:val="0"/>
          <w:sz w:val="32"/>
          <w:szCs w:val="32"/>
          <w:highlight w:val="none"/>
        </w:rPr>
        <w:t>测评实施标准规范</w:t>
      </w:r>
    </w:p>
    <w:p>
      <w:pPr>
        <w:pStyle w:val="24"/>
        <w:numPr>
          <w:ilvl w:val="0"/>
          <w:numId w:val="3"/>
        </w:numPr>
        <w:spacing w:before="156" w:beforeLines="50" w:after="156" w:afterLines="50" w:line="240" w:lineRule="auto"/>
        <w:ind w:leftChars="0"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GB 17859-1999 《计算机信息系统 安全保护等级划分准则》</w:t>
      </w:r>
    </w:p>
    <w:p>
      <w:pPr>
        <w:pStyle w:val="24"/>
        <w:numPr>
          <w:ilvl w:val="0"/>
          <w:numId w:val="3"/>
        </w:numPr>
        <w:spacing w:before="156" w:beforeLines="50" w:after="156" w:afterLines="50" w:line="240" w:lineRule="auto"/>
        <w:ind w:leftChars="0"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GB/T 22239-2019 《信息安全技术 网络安全等级保护基本要求》</w:t>
      </w:r>
    </w:p>
    <w:p>
      <w:pPr>
        <w:pStyle w:val="24"/>
        <w:numPr>
          <w:ilvl w:val="0"/>
          <w:numId w:val="3"/>
        </w:numPr>
        <w:spacing w:before="156" w:beforeLines="50" w:after="156" w:afterLines="50" w:line="240" w:lineRule="auto"/>
        <w:ind w:leftChars="0"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GB/T 28448-2019 《信息安全技术 网络安全等级保护测评要求》</w:t>
      </w:r>
    </w:p>
    <w:p>
      <w:pPr>
        <w:pStyle w:val="24"/>
        <w:numPr>
          <w:ilvl w:val="0"/>
          <w:numId w:val="3"/>
        </w:numPr>
        <w:spacing w:before="156" w:beforeLines="50" w:after="156" w:afterLines="50" w:line="240" w:lineRule="auto"/>
        <w:ind w:leftChars="0"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GB/T 28449-2018 《信息安全技术 网络安全等级保护测评过程指南》</w:t>
      </w:r>
    </w:p>
    <w:p>
      <w:pPr>
        <w:pStyle w:val="24"/>
        <w:numPr>
          <w:ilvl w:val="0"/>
          <w:numId w:val="3"/>
        </w:numPr>
        <w:spacing w:before="156" w:beforeLines="50" w:after="156" w:afterLines="50" w:line="240" w:lineRule="auto"/>
        <w:ind w:leftChars="0"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GB/T 20984-2007 《信息安全技术 信息安全风险评估规范》</w:t>
      </w:r>
    </w:p>
    <w:p>
      <w:pPr>
        <w:pStyle w:val="19"/>
        <w:numPr>
          <w:ilvl w:val="0"/>
          <w:numId w:val="2"/>
        </w:numPr>
        <w:spacing w:line="660" w:lineRule="exact"/>
        <w:ind w:left="0" w:firstLine="707" w:firstLineChars="221"/>
        <w:rPr>
          <w:rFonts w:ascii="仿宋" w:hAnsi="仿宋" w:eastAsia="仿宋" w:cs="宋体"/>
          <w:kern w:val="0"/>
          <w:sz w:val="32"/>
          <w:szCs w:val="32"/>
          <w:highlight w:val="none"/>
        </w:rPr>
      </w:pPr>
      <w:r>
        <w:rPr>
          <w:rFonts w:hint="eastAsia" w:ascii="仿宋" w:hAnsi="仿宋" w:eastAsia="仿宋" w:cs="宋体"/>
          <w:kern w:val="0"/>
          <w:sz w:val="32"/>
          <w:szCs w:val="32"/>
          <w:highlight w:val="none"/>
        </w:rPr>
        <w:t>项目范围：医疗服务项目价格信息管理平台（三级）、北京市卫生局财务人员队伍建设培训管理信息系统（二级）、核算中心门户网站（二级）。</w:t>
      </w:r>
    </w:p>
    <w:bookmarkEnd w:id="0"/>
    <w:bookmarkEnd w:id="1"/>
    <w:bookmarkEnd w:id="2"/>
    <w:p>
      <w:pPr>
        <w:pStyle w:val="24"/>
        <w:numPr>
          <w:ilvl w:val="0"/>
          <w:numId w:val="2"/>
        </w:numPr>
        <w:spacing w:line="660" w:lineRule="exact"/>
        <w:ind w:left="0" w:leftChars="0" w:firstLine="709" w:firstLineChars="0"/>
        <w:rPr>
          <w:rFonts w:ascii="仿宋" w:hAnsi="仿宋" w:eastAsia="仿宋" w:cs="宋体"/>
          <w:kern w:val="0"/>
          <w:sz w:val="32"/>
          <w:szCs w:val="32"/>
          <w:highlight w:val="none"/>
        </w:rPr>
      </w:pPr>
      <w:r>
        <w:rPr>
          <w:rFonts w:hint="eastAsia" w:ascii="仿宋" w:hAnsi="仿宋" w:eastAsia="仿宋" w:cs="宋体"/>
          <w:kern w:val="0"/>
          <w:sz w:val="32"/>
          <w:szCs w:val="32"/>
          <w:highlight w:val="none"/>
        </w:rPr>
        <w:t>交付物：</w:t>
      </w:r>
    </w:p>
    <w:p>
      <w:pPr>
        <w:pStyle w:val="24"/>
        <w:spacing w:before="156" w:beforeLines="50" w:after="156" w:afterLines="50" w:line="240" w:lineRule="auto"/>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《等级保护测评工作方案》</w:t>
      </w:r>
    </w:p>
    <w:p>
      <w:pPr>
        <w:pStyle w:val="24"/>
        <w:spacing w:before="156" w:beforeLines="50" w:after="156" w:afterLines="50" w:line="240" w:lineRule="auto"/>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《差距分析报告》</w:t>
      </w:r>
    </w:p>
    <w:p>
      <w:pPr>
        <w:pStyle w:val="24"/>
        <w:spacing w:before="156" w:beforeLines="50" w:after="156" w:afterLines="50" w:line="240" w:lineRule="auto"/>
        <w:ind w:left="0" w:leftChars="0" w:firstLine="640"/>
        <w:rPr>
          <w:rFonts w:ascii="仿宋" w:hAnsi="仿宋" w:eastAsia="仿宋" w:cs="宋体"/>
          <w:kern w:val="0"/>
          <w:sz w:val="32"/>
          <w:szCs w:val="32"/>
          <w:highlight w:val="none"/>
        </w:rPr>
      </w:pPr>
      <w:r>
        <w:rPr>
          <w:rFonts w:hint="eastAsia" w:ascii="仿宋_GB2312" w:hAnsi="仿宋" w:eastAsia="仿宋_GB2312"/>
          <w:sz w:val="32"/>
          <w:szCs w:val="32"/>
          <w:highlight w:val="none"/>
        </w:rPr>
        <w:t>《信息系统等级保护整改建议及方案》</w:t>
      </w:r>
    </w:p>
    <w:p>
      <w:pPr>
        <w:pStyle w:val="2"/>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《渗透测试报告》</w:t>
      </w:r>
    </w:p>
    <w:p>
      <w:pPr>
        <w:pStyle w:val="2"/>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《漏洞扫描报告》</w:t>
      </w:r>
    </w:p>
    <w:p>
      <w:pPr>
        <w:pStyle w:val="2"/>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《安全测评报告》</w:t>
      </w:r>
    </w:p>
    <w:p>
      <w:pPr>
        <w:pStyle w:val="24"/>
        <w:spacing w:before="156" w:beforeLines="50" w:after="156" w:afterLines="50" w:line="240" w:lineRule="auto"/>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《网络安全等级保护测评报告》</w:t>
      </w:r>
    </w:p>
    <w:p>
      <w:pPr>
        <w:pStyle w:val="4"/>
        <w:adjustRightInd/>
        <w:spacing w:before="120" w:after="120" w:line="660" w:lineRule="exact"/>
        <w:ind w:firstLine="640" w:firstLineChars="20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五、服务方式及服务期限</w:t>
      </w:r>
    </w:p>
    <w:p>
      <w:pPr>
        <w:spacing w:line="6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（一）现场服务：根据工作要求，提供现场服务，完成系统等级测评工作。</w:t>
      </w:r>
    </w:p>
    <w:p>
      <w:pPr>
        <w:spacing w:line="6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（二）远程服务：根据工作要求，提供远程服务，如电话、</w:t>
      </w:r>
      <w:r>
        <w:rPr>
          <w:rFonts w:ascii="仿宋" w:hAnsi="仿宋" w:eastAsia="仿宋" w:cs="宋体"/>
          <w:kern w:val="0"/>
          <w:sz w:val="32"/>
          <w:szCs w:val="32"/>
          <w:highlight w:val="none"/>
        </w:rPr>
        <w:t>email等各种远程服务。</w:t>
      </w:r>
    </w:p>
    <w:p>
      <w:pPr>
        <w:pStyle w:val="2"/>
        <w:spacing w:line="660" w:lineRule="exact"/>
        <w:ind w:left="0" w:leftChars="0" w:firstLine="640"/>
        <w:rPr>
          <w:rFonts w:ascii="仿宋" w:hAnsi="仿宋" w:eastAsia="仿宋" w:cs="宋体"/>
          <w:kern w:val="0"/>
          <w:sz w:val="32"/>
          <w:szCs w:val="32"/>
          <w:highlight w:val="none"/>
        </w:rPr>
      </w:pPr>
      <w:r>
        <w:rPr>
          <w:rFonts w:hint="eastAsia" w:ascii="仿宋" w:hAnsi="仿宋" w:eastAsia="仿宋" w:cs="宋体"/>
          <w:kern w:val="0"/>
          <w:sz w:val="32"/>
          <w:szCs w:val="32"/>
          <w:highlight w:val="none"/>
        </w:rPr>
        <w:t>（三）服务期限：自合同签订之日起至2025年11月。</w:t>
      </w:r>
    </w:p>
    <w:p>
      <w:pPr>
        <w:pStyle w:val="4"/>
        <w:adjustRightInd/>
        <w:spacing w:before="120" w:after="120" w:line="660" w:lineRule="exact"/>
        <w:ind w:firstLine="64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六、项目团队要求</w:t>
      </w:r>
    </w:p>
    <w:p>
      <w:pPr>
        <w:spacing w:line="660" w:lineRule="exact"/>
        <w:ind w:firstLine="480"/>
        <w:rPr>
          <w:rFonts w:ascii="仿宋" w:hAnsi="仿宋" w:eastAsia="仿宋" w:cs="宋体"/>
          <w:kern w:val="0"/>
          <w:sz w:val="32"/>
          <w:szCs w:val="32"/>
          <w:highlight w:val="none"/>
        </w:rPr>
      </w:pPr>
      <w:r>
        <w:rPr>
          <w:rFonts w:hint="eastAsia" w:ascii="仿宋" w:hAnsi="仿宋" w:eastAsia="仿宋"/>
          <w:sz w:val="32"/>
          <w:szCs w:val="32"/>
          <w:highlight w:val="none"/>
        </w:rPr>
        <w:t>（</w:t>
      </w:r>
      <w:r>
        <w:rPr>
          <w:rFonts w:ascii="仿宋" w:hAnsi="仿宋" w:eastAsia="仿宋" w:cs="宋体"/>
          <w:kern w:val="0"/>
          <w:sz w:val="32"/>
          <w:szCs w:val="32"/>
          <w:highlight w:val="none"/>
        </w:rPr>
        <w:t>一）</w:t>
      </w:r>
      <w:r>
        <w:rPr>
          <w:rFonts w:hint="eastAsia" w:ascii="仿宋" w:hAnsi="仿宋" w:eastAsia="仿宋" w:cs="宋体"/>
          <w:kern w:val="0"/>
          <w:sz w:val="32"/>
          <w:szCs w:val="32"/>
          <w:highlight w:val="none"/>
        </w:rPr>
        <w:t>投标人要建立由等级测评师组成的项目实施团队，包括项目经理，渗透测试人员，技术测评人员，管理测评人员等。项目团队人员均需提供近半年的社会保险缴纳证明，相关证书复印件，并加盖投标人单位公章。</w:t>
      </w:r>
    </w:p>
    <w:p>
      <w:pPr>
        <w:spacing w:line="660" w:lineRule="exact"/>
        <w:ind w:firstLine="480"/>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（二）项目经理在项目实施全过程中未经招标人许可不得变更，提交承诺函，并加盖投标人单位公章。</w:t>
      </w:r>
    </w:p>
    <w:p>
      <w:pPr>
        <w:spacing w:line="660" w:lineRule="exact"/>
        <w:ind w:firstLine="480"/>
        <w:rPr>
          <w:rFonts w:ascii="仿宋" w:hAnsi="仿宋" w:eastAsia="仿宋"/>
          <w:sz w:val="32"/>
          <w:szCs w:val="32"/>
          <w:highlight w:val="none"/>
        </w:rPr>
      </w:pPr>
      <w:r>
        <w:rPr>
          <w:rFonts w:hint="eastAsia" w:ascii="仿宋" w:hAnsi="仿宋" w:eastAsia="仿宋" w:cs="宋体"/>
          <w:kern w:val="0"/>
          <w:sz w:val="32"/>
          <w:szCs w:val="32"/>
          <w:highlight w:val="none"/>
        </w:rPr>
        <w:t>（三）中标方应在中标结果公示期满后</w:t>
      </w:r>
      <w:r>
        <w:rPr>
          <w:rFonts w:ascii="仿宋" w:hAnsi="仿宋" w:eastAsia="仿宋" w:cs="宋体"/>
          <w:kern w:val="0"/>
          <w:sz w:val="32"/>
          <w:szCs w:val="32"/>
          <w:highlight w:val="none"/>
        </w:rPr>
        <w:t>7天内，严格按照投标文件的承诺组建项目团队，备齐相关资质证明材料备查。如未能在规定时间内或未能严格按照投标文件组建项目团队，将被认定为虚假应标，承担相应法律责任。投标人须提交承诺函，并加盖投标人单位公章。</w:t>
      </w:r>
    </w:p>
    <w:p>
      <w:pPr>
        <w:pStyle w:val="4"/>
        <w:adjustRightInd/>
        <w:spacing w:before="120" w:after="120" w:line="660" w:lineRule="exact"/>
        <w:ind w:firstLine="640"/>
        <w:jc w:val="both"/>
        <w:textAlignment w:val="auto"/>
        <w:rPr>
          <w:rFonts w:ascii="黑体" w:hAnsi="黑体" w:eastAsia="黑体" w:cs="宋体"/>
          <w:kern w:val="0"/>
          <w:sz w:val="32"/>
          <w:szCs w:val="32"/>
          <w:highlight w:val="none"/>
        </w:rPr>
      </w:pPr>
      <w:r>
        <w:rPr>
          <w:rFonts w:hint="eastAsia" w:ascii="黑体" w:hAnsi="黑体" w:eastAsia="黑体" w:cs="宋体"/>
          <w:b w:val="0"/>
          <w:kern w:val="0"/>
          <w:sz w:val="32"/>
          <w:szCs w:val="32"/>
          <w:highlight w:val="none"/>
        </w:rPr>
        <w:t>七、报名和评审事宜</w:t>
      </w:r>
    </w:p>
    <w:p>
      <w:pPr>
        <w:pStyle w:val="10"/>
        <w:spacing w:before="0" w:beforeAutospacing="0" w:after="0" w:afterAutospacing="0"/>
        <w:ind w:firstLine="645"/>
        <w:jc w:val="both"/>
        <w:rPr>
          <w:rFonts w:ascii="仿宋_GB2312" w:hAnsi="等线" w:eastAsia="仿宋_GB2312"/>
          <w:color w:val="333333"/>
          <w:sz w:val="32"/>
          <w:szCs w:val="32"/>
          <w:highlight w:val="none"/>
        </w:rPr>
      </w:pPr>
      <w:r>
        <w:rPr>
          <w:rFonts w:hint="eastAsia" w:ascii="仿宋_GB2312" w:hAnsi="等线" w:eastAsia="仿宋_GB2312"/>
          <w:color w:val="333333"/>
          <w:sz w:val="32"/>
          <w:szCs w:val="32"/>
          <w:highlight w:val="none"/>
        </w:rPr>
        <w:t>（一）遴选文件获取期限：</w:t>
      </w:r>
      <w:r>
        <w:rPr>
          <w:rFonts w:ascii="仿宋_GB2312" w:eastAsia="仿宋_GB2312"/>
          <w:color w:val="333333"/>
          <w:sz w:val="32"/>
          <w:szCs w:val="32"/>
          <w:highlight w:val="none"/>
        </w:rPr>
        <w:t>202</w:t>
      </w:r>
      <w:r>
        <w:rPr>
          <w:rFonts w:hint="eastAsia" w:ascii="仿宋_GB2312" w:eastAsia="仿宋_GB2312"/>
          <w:color w:val="333333"/>
          <w:sz w:val="32"/>
          <w:szCs w:val="32"/>
          <w:highlight w:val="none"/>
        </w:rPr>
        <w:t>5</w:t>
      </w:r>
      <w:r>
        <w:rPr>
          <w:rFonts w:ascii="仿宋_GB2312" w:eastAsia="仿宋_GB2312"/>
          <w:color w:val="333333"/>
          <w:sz w:val="32"/>
          <w:szCs w:val="32"/>
          <w:highlight w:val="none"/>
        </w:rPr>
        <w:t>年</w:t>
      </w:r>
      <w:r>
        <w:rPr>
          <w:rFonts w:hint="eastAsia" w:ascii="仿宋_GB2312" w:eastAsia="仿宋_GB2312"/>
          <w:color w:val="333333"/>
          <w:sz w:val="32"/>
          <w:szCs w:val="32"/>
          <w:highlight w:val="none"/>
          <w:lang w:val="en-US" w:eastAsia="zh-CN"/>
        </w:rPr>
        <w:t>5</w:t>
      </w:r>
      <w:r>
        <w:rPr>
          <w:rFonts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7</w:t>
      </w:r>
      <w:r>
        <w:rPr>
          <w:rFonts w:ascii="仿宋_GB2312" w:eastAsia="仿宋_GB2312"/>
          <w:color w:val="333333"/>
          <w:sz w:val="32"/>
          <w:szCs w:val="32"/>
          <w:highlight w:val="none"/>
        </w:rPr>
        <w:t>日—202</w:t>
      </w:r>
      <w:r>
        <w:rPr>
          <w:rFonts w:hint="eastAsia" w:ascii="仿宋_GB2312" w:eastAsia="仿宋_GB2312"/>
          <w:color w:val="333333"/>
          <w:sz w:val="32"/>
          <w:szCs w:val="32"/>
          <w:highlight w:val="none"/>
        </w:rPr>
        <w:t>5</w:t>
      </w:r>
      <w:r>
        <w:rPr>
          <w:rFonts w:ascii="仿宋_GB2312" w:eastAsia="仿宋_GB2312"/>
          <w:color w:val="333333"/>
          <w:sz w:val="32"/>
          <w:szCs w:val="32"/>
          <w:highlight w:val="none"/>
        </w:rPr>
        <w:t>年</w:t>
      </w:r>
      <w:r>
        <w:rPr>
          <w:rFonts w:hint="eastAsia" w:ascii="仿宋_GB2312" w:eastAsia="仿宋_GB2312"/>
          <w:color w:val="333333"/>
          <w:sz w:val="32"/>
          <w:szCs w:val="32"/>
          <w:highlight w:val="none"/>
        </w:rPr>
        <w:t>5</w:t>
      </w:r>
      <w:r>
        <w:rPr>
          <w:rFonts w:ascii="仿宋_GB2312" w:eastAsia="仿宋_GB2312"/>
          <w:color w:val="333333"/>
          <w:sz w:val="32"/>
          <w:szCs w:val="32"/>
          <w:highlight w:val="none"/>
        </w:rPr>
        <w:t>月</w:t>
      </w:r>
      <w:r>
        <w:rPr>
          <w:rFonts w:hint="eastAsia" w:ascii="仿宋_GB2312" w:eastAsia="仿宋_GB2312"/>
          <w:color w:val="333333"/>
          <w:sz w:val="32"/>
          <w:szCs w:val="32"/>
          <w:highlight w:val="none"/>
          <w:lang w:val="en-US" w:eastAsia="zh-CN"/>
        </w:rPr>
        <w:t>14</w:t>
      </w:r>
      <w:r>
        <w:rPr>
          <w:rFonts w:ascii="仿宋_GB2312" w:eastAsia="仿宋_GB2312"/>
          <w:color w:val="333333"/>
          <w:sz w:val="32"/>
          <w:szCs w:val="32"/>
          <w:highlight w:val="none"/>
        </w:rPr>
        <w:t>日。</w:t>
      </w:r>
    </w:p>
    <w:p>
      <w:pPr>
        <w:pStyle w:val="10"/>
        <w:spacing w:before="0" w:beforeAutospacing="0" w:after="0" w:afterAutospacing="0"/>
        <w:ind w:firstLine="645"/>
        <w:jc w:val="both"/>
        <w:rPr>
          <w:rFonts w:ascii="仿宋_GB2312" w:hAnsi="等线" w:eastAsia="仿宋_GB2312"/>
          <w:color w:val="333333"/>
          <w:sz w:val="32"/>
          <w:szCs w:val="32"/>
          <w:highlight w:val="none"/>
        </w:rPr>
      </w:pPr>
      <w:r>
        <w:rPr>
          <w:rFonts w:hint="eastAsia" w:ascii="仿宋_GB2312" w:hAnsi="等线" w:eastAsia="仿宋_GB2312"/>
          <w:color w:val="333333"/>
          <w:sz w:val="32"/>
          <w:szCs w:val="32"/>
          <w:highlight w:val="none"/>
        </w:rPr>
        <w:t>（二）提交材料：根据“北京市卫生健康委员会会计核算服务中心关于行业财经数据精细化监管-等保测评项目的遴选公告”中的遴选文件提交响应文件。响应文件应对照遴选文件要求突出重点、简明扼要。</w:t>
      </w:r>
    </w:p>
    <w:p>
      <w:pPr>
        <w:pStyle w:val="10"/>
        <w:spacing w:before="0" w:beforeAutospacing="0" w:after="0" w:afterAutospacing="0"/>
        <w:ind w:firstLine="645"/>
        <w:jc w:val="both"/>
        <w:rPr>
          <w:rFonts w:ascii="仿宋_GB2312" w:hAnsi="等线" w:eastAsia="仿宋_GB2312"/>
          <w:color w:val="333333"/>
          <w:sz w:val="32"/>
          <w:szCs w:val="32"/>
          <w:highlight w:val="none"/>
        </w:rPr>
      </w:pPr>
      <w:r>
        <w:rPr>
          <w:rFonts w:hint="eastAsia" w:ascii="仿宋_GB2312" w:hAnsi="等线" w:eastAsia="仿宋_GB2312"/>
          <w:color w:val="333333"/>
          <w:sz w:val="32"/>
          <w:szCs w:val="32"/>
          <w:highlight w:val="none"/>
        </w:rPr>
        <w:t>（三）响应文件递交时间及方式：投标人应在2025年</w:t>
      </w:r>
      <w:r>
        <w:rPr>
          <w:rFonts w:hint="eastAsia" w:ascii="仿宋_GB2312" w:hAnsi="等线" w:eastAsia="仿宋_GB2312"/>
          <w:color w:val="333333"/>
          <w:sz w:val="32"/>
          <w:szCs w:val="32"/>
          <w:highlight w:val="none"/>
          <w:lang w:val="en-US" w:eastAsia="zh-CN"/>
        </w:rPr>
        <w:t>5</w:t>
      </w:r>
      <w:r>
        <w:rPr>
          <w:rFonts w:hint="eastAsia" w:ascii="仿宋_GB2312" w:hAnsi="等线" w:eastAsia="仿宋_GB2312"/>
          <w:color w:val="333333"/>
          <w:sz w:val="32"/>
          <w:szCs w:val="32"/>
          <w:highlight w:val="none"/>
        </w:rPr>
        <w:t>月</w:t>
      </w:r>
      <w:r>
        <w:rPr>
          <w:rFonts w:hint="eastAsia" w:ascii="仿宋_GB2312" w:hAnsi="等线" w:eastAsia="仿宋_GB2312"/>
          <w:color w:val="333333"/>
          <w:sz w:val="32"/>
          <w:szCs w:val="32"/>
          <w:highlight w:val="none"/>
          <w:lang w:val="en-US" w:eastAsia="zh-CN"/>
        </w:rPr>
        <w:t>14</w:t>
      </w:r>
      <w:bookmarkStart w:id="3" w:name="_GoBack"/>
      <w:bookmarkEnd w:id="3"/>
      <w:r>
        <w:rPr>
          <w:rFonts w:hint="eastAsia" w:ascii="仿宋_GB2312" w:hAnsi="等线" w:eastAsia="仿宋_GB2312"/>
          <w:color w:val="333333"/>
          <w:sz w:val="32"/>
          <w:szCs w:val="32"/>
          <w:highlight w:val="none"/>
        </w:rPr>
        <w:t>日下午17:00前将响应文件邮寄至北京市卫生健康委员会会计核算服务中心（地址：</w:t>
      </w:r>
      <w:r>
        <w:rPr>
          <w:rFonts w:ascii="仿宋_GB2312" w:eastAsia="仿宋_GB2312"/>
          <w:color w:val="333333"/>
          <w:sz w:val="32"/>
          <w:szCs w:val="32"/>
          <w:highlight w:val="none"/>
        </w:rPr>
        <w:t>北京市</w:t>
      </w:r>
      <w:r>
        <w:rPr>
          <w:rFonts w:hint="eastAsia" w:ascii="仿宋_GB2312" w:eastAsia="仿宋_GB2312"/>
          <w:color w:val="333333"/>
          <w:sz w:val="32"/>
          <w:szCs w:val="32"/>
          <w:highlight w:val="none"/>
        </w:rPr>
        <w:t>通州区达济街6号院1号楼北门</w:t>
      </w:r>
      <w:r>
        <w:rPr>
          <w:rFonts w:hint="eastAsia" w:ascii="仿宋_GB2312" w:hAnsi="等线" w:eastAsia="仿宋_GB2312"/>
          <w:color w:val="333333"/>
          <w:sz w:val="32"/>
          <w:szCs w:val="32"/>
          <w:highlight w:val="none"/>
        </w:rPr>
        <w:t>），电子版提交至：bgs@wjw.beijing.gov.cn，并在邮件主题处注明“行业财经数据精细化监管-等保测评项目响应文件”字样。</w:t>
      </w:r>
    </w:p>
    <w:p>
      <w:pPr>
        <w:pStyle w:val="10"/>
        <w:spacing w:before="0" w:beforeAutospacing="0" w:after="0" w:afterAutospacing="0"/>
        <w:ind w:firstLine="645"/>
        <w:jc w:val="both"/>
        <w:rPr>
          <w:rFonts w:ascii="仿宋_GB2312" w:hAnsi="等线" w:eastAsia="仿宋_GB2312"/>
          <w:color w:val="333333"/>
          <w:sz w:val="32"/>
          <w:szCs w:val="32"/>
          <w:highlight w:val="none"/>
        </w:rPr>
      </w:pPr>
      <w:r>
        <w:rPr>
          <w:rFonts w:hint="eastAsia" w:ascii="仿宋_GB2312" w:hAnsi="等线" w:eastAsia="仿宋_GB2312"/>
          <w:color w:val="333333"/>
          <w:sz w:val="32"/>
          <w:szCs w:val="32"/>
          <w:highlight w:val="none"/>
        </w:rPr>
        <w:t>（四）组织评审：会计核算中心将组织遴选专家评审小组，对响应文件根据评分标准进行评审，选取综合得分最高的投标人作为项目承担单位。</w:t>
      </w:r>
    </w:p>
    <w:p>
      <w:pPr>
        <w:ind w:firstLine="640" w:firstLineChars="200"/>
        <w:rPr>
          <w:rFonts w:ascii="仿宋_GB2312" w:hAnsi="仿宋" w:eastAsia="仿宋_GB2312"/>
          <w:sz w:val="32"/>
          <w:szCs w:val="32"/>
          <w:highlight w:val="none"/>
        </w:rPr>
      </w:pPr>
      <w:r>
        <w:rPr>
          <w:rFonts w:hint="eastAsia" w:ascii="仿宋_GB2312" w:eastAsia="仿宋_GB2312"/>
          <w:color w:val="333333"/>
          <w:sz w:val="32"/>
          <w:szCs w:val="32"/>
          <w:highlight w:val="none"/>
        </w:rPr>
        <w:t>（五）结果公示：评审工作结束后，将对专家遴选结果在北京市卫生健康委员会会计核算服务中心门户网站予以公示。</w:t>
      </w:r>
    </w:p>
    <w:p>
      <w:pPr>
        <w:pStyle w:val="4"/>
        <w:adjustRightInd/>
        <w:spacing w:before="120" w:after="120" w:line="660" w:lineRule="exact"/>
        <w:ind w:firstLine="64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八、项目经费</w:t>
      </w:r>
    </w:p>
    <w:p>
      <w:pPr>
        <w:widowControl/>
        <w:spacing w:line="6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项目经费预算48万元。</w:t>
      </w:r>
    </w:p>
    <w:p>
      <w:pPr>
        <w:pStyle w:val="4"/>
        <w:adjustRightInd/>
        <w:spacing w:before="120" w:after="120" w:line="660" w:lineRule="exact"/>
        <w:ind w:firstLine="64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九、评分标准和评分方法</w:t>
      </w:r>
    </w:p>
    <w:p>
      <w:pPr>
        <w:pStyle w:val="26"/>
        <w:spacing w:line="560" w:lineRule="exact"/>
        <w:ind w:firstLine="640"/>
        <w:rPr>
          <w:rFonts w:ascii="仿宋" w:hAnsi="仿宋" w:eastAsia="仿宋" w:cs="宋体"/>
          <w:sz w:val="32"/>
          <w:szCs w:val="32"/>
          <w:highlight w:val="none"/>
        </w:rPr>
      </w:pPr>
      <w:r>
        <w:rPr>
          <w:rFonts w:hint="eastAsia" w:ascii="仿宋" w:hAnsi="仿宋" w:eastAsia="仿宋" w:cs="宋体"/>
          <w:sz w:val="32"/>
          <w:szCs w:val="32"/>
          <w:highlight w:val="none"/>
        </w:rPr>
        <w:t>评标方法：综合评分法。总分</w:t>
      </w:r>
      <w:r>
        <w:rPr>
          <w:rFonts w:ascii="仿宋" w:hAnsi="仿宋" w:eastAsia="仿宋" w:cs="宋体"/>
          <w:sz w:val="32"/>
          <w:szCs w:val="32"/>
          <w:highlight w:val="none"/>
        </w:rPr>
        <w:t>100分。其中投标报价10分、</w:t>
      </w:r>
      <w:r>
        <w:rPr>
          <w:rFonts w:hint="eastAsia" w:ascii="仿宋" w:hAnsi="仿宋" w:eastAsia="仿宋" w:cs="宋体"/>
          <w:sz w:val="32"/>
          <w:szCs w:val="32"/>
          <w:highlight w:val="none"/>
        </w:rPr>
        <w:t>商务部分19分</w:t>
      </w:r>
      <w:r>
        <w:rPr>
          <w:rFonts w:ascii="仿宋" w:hAnsi="仿宋" w:eastAsia="仿宋" w:cs="宋体"/>
          <w:sz w:val="32"/>
          <w:szCs w:val="32"/>
          <w:highlight w:val="none"/>
        </w:rPr>
        <w:t>、</w:t>
      </w:r>
      <w:r>
        <w:rPr>
          <w:rFonts w:hint="eastAsia" w:ascii="仿宋" w:hAnsi="仿宋" w:eastAsia="仿宋" w:cs="宋体"/>
          <w:sz w:val="32"/>
          <w:szCs w:val="32"/>
          <w:highlight w:val="none"/>
        </w:rPr>
        <w:t>技术部分71分</w:t>
      </w:r>
      <w:r>
        <w:rPr>
          <w:rFonts w:ascii="仿宋" w:hAnsi="仿宋" w:eastAsia="仿宋" w:cs="宋体"/>
          <w:sz w:val="32"/>
          <w:szCs w:val="32"/>
          <w:highlight w:val="none"/>
        </w:rPr>
        <w:t>。最低报价不作为中标的保证。</w:t>
      </w:r>
    </w:p>
    <w:tbl>
      <w:tblPr>
        <w:tblStyle w:val="12"/>
        <w:tblW w:w="98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896"/>
        <w:gridCol w:w="5143"/>
        <w:gridCol w:w="1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31" w:type="dxa"/>
            <w:vAlign w:val="center"/>
          </w:tcPr>
          <w:p>
            <w:pPr>
              <w:widowControl/>
              <w:jc w:val="center"/>
              <w:rPr>
                <w:rFonts w:ascii="宋体" w:hAnsi="宋体"/>
                <w:b/>
                <w:bCs/>
                <w:kern w:val="0"/>
                <w:szCs w:val="21"/>
                <w:highlight w:val="none"/>
              </w:rPr>
            </w:pPr>
            <w:r>
              <w:rPr>
                <w:rFonts w:hint="eastAsia" w:ascii="宋体" w:hAnsi="宋体"/>
                <w:b/>
                <w:bCs/>
                <w:kern w:val="0"/>
                <w:szCs w:val="21"/>
                <w:highlight w:val="none"/>
              </w:rPr>
              <w:t>评分项目</w:t>
            </w:r>
          </w:p>
        </w:tc>
        <w:tc>
          <w:tcPr>
            <w:tcW w:w="1896" w:type="dxa"/>
            <w:vAlign w:val="center"/>
          </w:tcPr>
          <w:p>
            <w:pPr>
              <w:widowControl/>
              <w:jc w:val="center"/>
              <w:rPr>
                <w:rFonts w:ascii="宋体" w:hAnsi="宋体"/>
                <w:b/>
                <w:bCs/>
                <w:kern w:val="0"/>
                <w:szCs w:val="21"/>
                <w:highlight w:val="none"/>
              </w:rPr>
            </w:pPr>
            <w:r>
              <w:rPr>
                <w:rFonts w:hint="eastAsia" w:ascii="宋体" w:hAnsi="宋体"/>
                <w:b/>
                <w:bCs/>
                <w:kern w:val="0"/>
                <w:szCs w:val="21"/>
                <w:highlight w:val="none"/>
              </w:rPr>
              <w:t>分项因素及分支</w:t>
            </w:r>
          </w:p>
        </w:tc>
        <w:tc>
          <w:tcPr>
            <w:tcW w:w="5143" w:type="dxa"/>
            <w:vAlign w:val="center"/>
          </w:tcPr>
          <w:p>
            <w:pPr>
              <w:widowControl/>
              <w:jc w:val="center"/>
              <w:rPr>
                <w:rFonts w:ascii="宋体" w:hAnsi="宋体"/>
                <w:b/>
                <w:bCs/>
                <w:kern w:val="0"/>
                <w:szCs w:val="21"/>
                <w:highlight w:val="none"/>
              </w:rPr>
            </w:pPr>
            <w:r>
              <w:rPr>
                <w:rFonts w:hint="eastAsia" w:ascii="宋体" w:hAnsi="宋体"/>
                <w:b/>
                <w:bCs/>
                <w:kern w:val="0"/>
                <w:szCs w:val="21"/>
                <w:highlight w:val="none"/>
              </w:rPr>
              <w:t>评审细则</w:t>
            </w:r>
          </w:p>
        </w:tc>
        <w:tc>
          <w:tcPr>
            <w:tcW w:w="1193" w:type="dxa"/>
            <w:vAlign w:val="center"/>
          </w:tcPr>
          <w:p>
            <w:pPr>
              <w:widowControl/>
              <w:jc w:val="center"/>
              <w:rPr>
                <w:highlight w:val="none"/>
              </w:rPr>
            </w:pPr>
            <w:r>
              <w:rPr>
                <w:rFonts w:hint="eastAsia" w:ascii="宋体" w:hAnsi="宋体"/>
                <w:b/>
                <w:bCs/>
                <w:kern w:val="0"/>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Align w:val="center"/>
          </w:tcPr>
          <w:p>
            <w:pPr>
              <w:jc w:val="center"/>
              <w:rPr>
                <w:rFonts w:ascii="宋体" w:hAnsi="宋体"/>
                <w:szCs w:val="21"/>
                <w:highlight w:val="none"/>
              </w:rPr>
            </w:pPr>
            <w:r>
              <w:rPr>
                <w:rFonts w:hint="eastAsia" w:ascii="宋体" w:hAnsi="宋体"/>
                <w:szCs w:val="21"/>
                <w:highlight w:val="none"/>
              </w:rPr>
              <w:t>投标报价</w:t>
            </w:r>
          </w:p>
          <w:p>
            <w:pPr>
              <w:jc w:val="center"/>
              <w:rPr>
                <w:rFonts w:ascii="宋体" w:hAnsi="宋体"/>
                <w:szCs w:val="21"/>
                <w:highlight w:val="none"/>
              </w:rPr>
            </w:pPr>
            <w:r>
              <w:rPr>
                <w:rFonts w:hint="eastAsia" w:ascii="宋体" w:hAnsi="宋体"/>
                <w:szCs w:val="21"/>
                <w:highlight w:val="none"/>
              </w:rPr>
              <w:t>（10分）</w:t>
            </w:r>
          </w:p>
        </w:tc>
        <w:tc>
          <w:tcPr>
            <w:tcW w:w="1896" w:type="dxa"/>
            <w:vAlign w:val="center"/>
          </w:tcPr>
          <w:p>
            <w:pPr>
              <w:widowControl/>
              <w:rPr>
                <w:rFonts w:ascii="宋体" w:hAnsi="宋体"/>
                <w:bCs/>
                <w:kern w:val="0"/>
                <w:szCs w:val="21"/>
                <w:highlight w:val="none"/>
              </w:rPr>
            </w:pPr>
            <w:r>
              <w:rPr>
                <w:rFonts w:hint="eastAsia" w:ascii="宋体" w:hAnsi="宋体"/>
                <w:bCs/>
                <w:kern w:val="0"/>
                <w:szCs w:val="21"/>
                <w:highlight w:val="none"/>
              </w:rPr>
              <w:t>投标价格（10分）</w:t>
            </w:r>
          </w:p>
        </w:tc>
        <w:tc>
          <w:tcPr>
            <w:tcW w:w="5143" w:type="dxa"/>
            <w:vAlign w:val="center"/>
          </w:tcPr>
          <w:p>
            <w:pPr>
              <w:widowControl/>
              <w:rPr>
                <w:rFonts w:ascii="宋体" w:hAnsi="宋体"/>
                <w:kern w:val="0"/>
                <w:szCs w:val="21"/>
                <w:highlight w:val="none"/>
              </w:rPr>
            </w:pPr>
            <w:r>
              <w:rPr>
                <w:rFonts w:hint="eastAsia" w:ascii="宋体" w:hAnsi="宋体"/>
                <w:kern w:val="0"/>
                <w:szCs w:val="21"/>
                <w:highlight w:val="none"/>
              </w:rPr>
              <w:t>价格分计算方法:</w:t>
            </w:r>
          </w:p>
          <w:p>
            <w:pPr>
              <w:widowControl/>
              <w:rPr>
                <w:rFonts w:ascii="宋体" w:hAnsi="宋体"/>
                <w:kern w:val="0"/>
                <w:szCs w:val="21"/>
                <w:highlight w:val="none"/>
              </w:rPr>
            </w:pPr>
            <w:r>
              <w:rPr>
                <w:rFonts w:hint="eastAsia" w:ascii="宋体" w:hAnsi="宋体"/>
                <w:kern w:val="0"/>
                <w:szCs w:val="21"/>
                <w:highlight w:val="none"/>
              </w:rPr>
              <w:t>评标价格分数=（评标基准价/投标报价）×价格权重（10%）×100</w:t>
            </w:r>
          </w:p>
          <w:p>
            <w:pPr>
              <w:widowControl/>
              <w:rPr>
                <w:rFonts w:ascii="宋体" w:hAnsi="宋体"/>
                <w:kern w:val="0"/>
                <w:szCs w:val="21"/>
                <w:highlight w:val="none"/>
              </w:rPr>
            </w:pPr>
            <w:r>
              <w:rPr>
                <w:rFonts w:hint="eastAsia" w:ascii="宋体" w:hAnsi="宋体"/>
                <w:kern w:val="0"/>
                <w:szCs w:val="21"/>
                <w:highlight w:val="none"/>
              </w:rPr>
              <w:t>备注：实质性响应招标文件要求且价格最低的投标报价为评标基准价</w:t>
            </w:r>
          </w:p>
          <w:p>
            <w:pPr>
              <w:widowControl/>
              <w:rPr>
                <w:rFonts w:ascii="宋体" w:hAnsi="宋体"/>
                <w:kern w:val="0"/>
                <w:szCs w:val="21"/>
                <w:highlight w:val="none"/>
              </w:rPr>
            </w:pPr>
            <w:r>
              <w:rPr>
                <w:rFonts w:hint="eastAsia" w:ascii="宋体" w:hAnsi="宋体"/>
                <w:kern w:val="0"/>
                <w:szCs w:val="21"/>
                <w:highlight w:val="none"/>
              </w:rPr>
              <w:t>中小企业参加政府采购活动如提供《中小企业声明函》，价格扣除标准按《政府采购促进中小企业发展暂行办法》执行。本次招标对小型和微型企业产品的价格给予6%的扣除。</w:t>
            </w:r>
          </w:p>
        </w:tc>
        <w:tc>
          <w:tcPr>
            <w:tcW w:w="1193" w:type="dxa"/>
            <w:vAlign w:val="center"/>
          </w:tcPr>
          <w:p>
            <w:pPr>
              <w:widowControl/>
              <w:jc w:val="center"/>
              <w:rPr>
                <w:rFonts w:ascii="宋体" w:hAnsi="宋体"/>
                <w:kern w:val="0"/>
                <w:szCs w:val="21"/>
                <w:highlight w:val="none"/>
              </w:rPr>
            </w:pPr>
            <w:r>
              <w:rPr>
                <w:rFonts w:hint="eastAsia" w:ascii="宋体" w:hAnsi="宋体"/>
                <w:kern w:val="0"/>
                <w:szCs w:val="21"/>
                <w:highlight w:val="none"/>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Merge w:val="restart"/>
            <w:vAlign w:val="center"/>
          </w:tcPr>
          <w:p>
            <w:pPr>
              <w:jc w:val="center"/>
              <w:rPr>
                <w:rFonts w:ascii="宋体" w:hAnsi="宋体"/>
                <w:szCs w:val="21"/>
                <w:highlight w:val="none"/>
              </w:rPr>
            </w:pPr>
            <w:r>
              <w:rPr>
                <w:rFonts w:hint="eastAsia" w:ascii="宋体" w:hAnsi="宋体"/>
                <w:szCs w:val="21"/>
                <w:highlight w:val="none"/>
              </w:rPr>
              <w:t>商务部分</w:t>
            </w:r>
          </w:p>
          <w:p>
            <w:pPr>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9</w:t>
            </w:r>
            <w:r>
              <w:rPr>
                <w:rFonts w:hint="eastAsia" w:ascii="宋体" w:hAnsi="宋体"/>
                <w:szCs w:val="21"/>
                <w:highlight w:val="none"/>
              </w:rPr>
              <w:t>分）</w:t>
            </w:r>
          </w:p>
        </w:tc>
        <w:tc>
          <w:tcPr>
            <w:tcW w:w="1896" w:type="dxa"/>
            <w:vMerge w:val="restart"/>
            <w:vAlign w:val="center"/>
          </w:tcPr>
          <w:p>
            <w:pPr>
              <w:widowControl/>
              <w:rPr>
                <w:rFonts w:ascii="宋体" w:hAnsi="宋体"/>
                <w:bCs/>
                <w:kern w:val="0"/>
                <w:szCs w:val="21"/>
                <w:highlight w:val="none"/>
              </w:rPr>
            </w:pPr>
            <w:r>
              <w:rPr>
                <w:rFonts w:hint="eastAsia" w:ascii="宋体" w:hAnsi="宋体"/>
                <w:kern w:val="0"/>
                <w:szCs w:val="21"/>
                <w:highlight w:val="none"/>
              </w:rPr>
              <w:t>投标人整体水平（</w:t>
            </w:r>
            <w:r>
              <w:rPr>
                <w:rFonts w:ascii="宋体" w:hAnsi="宋体"/>
                <w:kern w:val="0"/>
                <w:szCs w:val="21"/>
                <w:highlight w:val="none"/>
              </w:rPr>
              <w:t>9</w:t>
            </w:r>
            <w:r>
              <w:rPr>
                <w:rFonts w:hint="eastAsia" w:ascii="宋体" w:hAnsi="宋体"/>
                <w:kern w:val="0"/>
                <w:szCs w:val="21"/>
                <w:highlight w:val="none"/>
              </w:rPr>
              <w:t>分）</w:t>
            </w:r>
          </w:p>
        </w:tc>
        <w:tc>
          <w:tcPr>
            <w:tcW w:w="5143" w:type="dxa"/>
            <w:vAlign w:val="center"/>
          </w:tcPr>
          <w:p>
            <w:pPr>
              <w:widowControl/>
              <w:snapToGrid w:val="0"/>
              <w:rPr>
                <w:rFonts w:ascii="宋体" w:hAnsi="宋体" w:eastAsia="宋体" w:cs="宋体"/>
                <w:kern w:val="0"/>
                <w:szCs w:val="21"/>
                <w:highlight w:val="none"/>
              </w:rPr>
            </w:pPr>
            <w:r>
              <w:rPr>
                <w:rFonts w:hint="eastAsia" w:ascii="宋体" w:hAnsi="宋体" w:eastAsia="宋体" w:cs="宋体"/>
                <w:kern w:val="0"/>
                <w:szCs w:val="21"/>
                <w:highlight w:val="none"/>
              </w:rPr>
              <w:t>投标人具有公安部第三研究所颁发网络安全等级测评与检验评估机构服务认证证书，得</w:t>
            </w:r>
            <w:r>
              <w:rPr>
                <w:rFonts w:ascii="宋体" w:hAnsi="宋体" w:eastAsia="宋体" w:cs="宋体"/>
                <w:kern w:val="0"/>
                <w:szCs w:val="21"/>
                <w:highlight w:val="none"/>
              </w:rPr>
              <w:t>1</w:t>
            </w:r>
            <w:r>
              <w:rPr>
                <w:rFonts w:hint="eastAsia" w:ascii="宋体" w:hAnsi="宋体" w:eastAsia="宋体" w:cs="宋体"/>
                <w:kern w:val="0"/>
                <w:szCs w:val="21"/>
                <w:highlight w:val="none"/>
              </w:rPr>
              <w:t>分，没有的为0分。</w:t>
            </w:r>
          </w:p>
          <w:p>
            <w:pPr>
              <w:widowControl/>
              <w:rPr>
                <w:rFonts w:ascii="宋体" w:hAnsi="宋体" w:eastAsia="宋体" w:cs="宋体"/>
                <w:kern w:val="0"/>
                <w:szCs w:val="21"/>
                <w:highlight w:val="none"/>
              </w:rPr>
            </w:pPr>
            <w:r>
              <w:rPr>
                <w:rFonts w:hint="eastAsia" w:ascii="宋体" w:hAnsi="宋体" w:eastAsia="宋体" w:cs="宋体"/>
                <w:kern w:val="0"/>
                <w:szCs w:val="21"/>
                <w:highlight w:val="none"/>
              </w:rPr>
              <w:t>注：投标人须提供证书复印件并加盖公章，否则评标时不予认可。</w:t>
            </w:r>
          </w:p>
        </w:tc>
        <w:tc>
          <w:tcPr>
            <w:tcW w:w="1193" w:type="dxa"/>
            <w:vAlign w:val="center"/>
          </w:tcPr>
          <w:p>
            <w:pPr>
              <w:widowControl/>
              <w:jc w:val="center"/>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1" w:type="dxa"/>
            <w:vMerge w:val="continue"/>
            <w:vAlign w:val="center"/>
          </w:tcPr>
          <w:p>
            <w:pPr>
              <w:jc w:val="center"/>
              <w:rPr>
                <w:rFonts w:ascii="宋体" w:hAnsi="宋体"/>
                <w:szCs w:val="21"/>
                <w:highlight w:val="none"/>
              </w:rPr>
            </w:pPr>
          </w:p>
        </w:tc>
        <w:tc>
          <w:tcPr>
            <w:tcW w:w="1896" w:type="dxa"/>
            <w:vMerge w:val="continue"/>
            <w:vAlign w:val="center"/>
          </w:tcPr>
          <w:p>
            <w:pPr>
              <w:widowControl/>
              <w:rPr>
                <w:rFonts w:ascii="宋体" w:hAnsi="宋体"/>
                <w:kern w:val="0"/>
                <w:szCs w:val="21"/>
                <w:highlight w:val="none"/>
              </w:rPr>
            </w:pPr>
          </w:p>
        </w:tc>
        <w:tc>
          <w:tcPr>
            <w:tcW w:w="5143" w:type="dxa"/>
            <w:vAlign w:val="center"/>
          </w:tcPr>
          <w:p>
            <w:pPr>
              <w:widowControl/>
              <w:rPr>
                <w:rFonts w:ascii="宋体" w:hAnsi="宋体" w:eastAsia="宋体" w:cs="宋体"/>
                <w:kern w:val="0"/>
                <w:szCs w:val="21"/>
                <w:highlight w:val="none"/>
              </w:rPr>
            </w:pPr>
            <w:r>
              <w:rPr>
                <w:rFonts w:hint="eastAsia" w:ascii="宋体" w:hAnsi="宋体" w:eastAsia="宋体" w:cs="宋体"/>
                <w:kern w:val="0"/>
                <w:szCs w:val="21"/>
                <w:highlight w:val="none"/>
              </w:rPr>
              <w:t>投标人具备有效的有中国网络安全审查技术与认证中心颁发的“信息安全风险评估”二级以上证书，得2分；三级证书，得1分；没有的为0分。</w:t>
            </w:r>
          </w:p>
          <w:p>
            <w:pPr>
              <w:widowControl/>
              <w:rPr>
                <w:rFonts w:ascii="宋体" w:hAnsi="宋体" w:eastAsia="宋体" w:cs="宋体"/>
                <w:kern w:val="0"/>
                <w:szCs w:val="21"/>
                <w:highlight w:val="none"/>
              </w:rPr>
            </w:pPr>
            <w:r>
              <w:rPr>
                <w:rFonts w:hint="eastAsia" w:ascii="宋体" w:hAnsi="宋体" w:eastAsia="宋体" w:cs="宋体"/>
                <w:kern w:val="0"/>
                <w:szCs w:val="21"/>
                <w:highlight w:val="none"/>
              </w:rPr>
              <w:t>注：投标人须提供证书复印件并加盖公章，否则评标时不予认可。</w:t>
            </w:r>
          </w:p>
        </w:tc>
        <w:tc>
          <w:tcPr>
            <w:tcW w:w="1193" w:type="dxa"/>
            <w:vAlign w:val="center"/>
          </w:tcPr>
          <w:p>
            <w:pPr>
              <w:widowControl/>
              <w:jc w:val="center"/>
              <w:rPr>
                <w:rFonts w:ascii="宋体" w:hAnsi="宋体"/>
                <w:kern w:val="0"/>
                <w:szCs w:val="21"/>
                <w:highlight w:val="none"/>
              </w:rPr>
            </w:pPr>
            <w:r>
              <w:rPr>
                <w:rFonts w:hint="eastAsia" w:ascii="宋体" w:hAnsi="宋体"/>
                <w:kern w:val="0"/>
                <w:szCs w:val="21"/>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1" w:type="dxa"/>
            <w:vMerge w:val="continue"/>
            <w:vAlign w:val="center"/>
          </w:tcPr>
          <w:p>
            <w:pPr>
              <w:widowControl/>
              <w:jc w:val="center"/>
              <w:rPr>
                <w:highlight w:val="none"/>
              </w:rPr>
            </w:pPr>
          </w:p>
        </w:tc>
        <w:tc>
          <w:tcPr>
            <w:tcW w:w="1896" w:type="dxa"/>
            <w:vMerge w:val="continue"/>
            <w:vAlign w:val="center"/>
          </w:tcPr>
          <w:p>
            <w:pPr>
              <w:widowControl/>
              <w:jc w:val="center"/>
              <w:rPr>
                <w:highlight w:val="none"/>
              </w:rPr>
            </w:pPr>
          </w:p>
        </w:tc>
        <w:tc>
          <w:tcPr>
            <w:tcW w:w="5143" w:type="dxa"/>
            <w:vAlign w:val="center"/>
          </w:tcPr>
          <w:p>
            <w:pPr>
              <w:widowControl/>
              <w:jc w:val="left"/>
              <w:textAlignment w:val="center"/>
              <w:rPr>
                <w:rFonts w:ascii="宋体" w:hAnsi="宋体" w:eastAsia="宋体" w:cs="宋体"/>
                <w:bCs/>
                <w:szCs w:val="21"/>
                <w:highlight w:val="none"/>
              </w:rPr>
            </w:pPr>
            <w:r>
              <w:rPr>
                <w:rFonts w:hint="eastAsia" w:ascii="宋体" w:hAnsi="宋体" w:eastAsia="宋体" w:cs="宋体"/>
                <w:bCs/>
                <w:szCs w:val="21"/>
                <w:highlight w:val="none"/>
              </w:rPr>
              <w:t>投标人曾主持制定或者参与制定网络安全相关国家标准，每提供1个标准得1分，最高得4分，没有不得分。</w:t>
            </w:r>
          </w:p>
          <w:p>
            <w:pPr>
              <w:widowControl/>
              <w:jc w:val="left"/>
              <w:textAlignment w:val="center"/>
              <w:rPr>
                <w:rFonts w:ascii="宋体" w:hAnsi="宋体" w:eastAsia="宋体" w:cs="宋体"/>
                <w:szCs w:val="21"/>
                <w:highlight w:val="none"/>
              </w:rPr>
            </w:pPr>
            <w:r>
              <w:rPr>
                <w:rFonts w:hint="eastAsia" w:ascii="宋体" w:hAnsi="宋体" w:eastAsia="宋体" w:cs="宋体"/>
                <w:bCs/>
                <w:szCs w:val="21"/>
                <w:highlight w:val="none"/>
              </w:rPr>
              <w:t>注：以上标准均要求已发布并且现行，同时提供国家标准全文公开系统标准预览截图（能够体现标准名称和标准起草单位即可）并加盖投标人公章。</w:t>
            </w:r>
          </w:p>
        </w:tc>
        <w:tc>
          <w:tcPr>
            <w:tcW w:w="1193" w:type="dxa"/>
            <w:vAlign w:val="center"/>
          </w:tcPr>
          <w:p>
            <w:pPr>
              <w:widowControl/>
              <w:jc w:val="center"/>
              <w:rPr>
                <w:rFonts w:ascii="宋体" w:hAnsi="宋体"/>
                <w:kern w:val="0"/>
                <w:szCs w:val="21"/>
                <w:highlight w:val="none"/>
              </w:rPr>
            </w:pPr>
            <w:r>
              <w:rPr>
                <w:rFonts w:ascii="宋体" w:hAnsi="宋体"/>
                <w:kern w:val="0"/>
                <w:szCs w:val="21"/>
                <w:highlight w:val="none"/>
              </w:rPr>
              <w:t>4</w:t>
            </w:r>
            <w:r>
              <w:rPr>
                <w:rFonts w:hint="eastAsia" w:ascii="宋体" w:hAnsi="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31" w:type="dxa"/>
            <w:vMerge w:val="continue"/>
            <w:vAlign w:val="center"/>
          </w:tcPr>
          <w:p>
            <w:pPr>
              <w:widowControl/>
              <w:jc w:val="center"/>
              <w:rPr>
                <w:highlight w:val="none"/>
              </w:rPr>
            </w:pPr>
          </w:p>
        </w:tc>
        <w:tc>
          <w:tcPr>
            <w:tcW w:w="1896" w:type="dxa"/>
            <w:vMerge w:val="continue"/>
            <w:vAlign w:val="center"/>
          </w:tcPr>
          <w:p>
            <w:pPr>
              <w:widowControl/>
              <w:jc w:val="center"/>
              <w:rPr>
                <w:highlight w:val="none"/>
              </w:rPr>
            </w:pPr>
          </w:p>
        </w:tc>
        <w:tc>
          <w:tcPr>
            <w:tcW w:w="5143" w:type="dxa"/>
            <w:vAlign w:val="center"/>
          </w:tcPr>
          <w:p>
            <w:pPr>
              <w:widowControl/>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投标单位持有</w:t>
            </w:r>
            <w:r>
              <w:rPr>
                <w:rFonts w:hint="eastAsia" w:ascii="宋体" w:hAnsi="宋体" w:cs="宋体"/>
                <w:kern w:val="0"/>
                <w:szCs w:val="21"/>
                <w:highlight w:val="none"/>
              </w:rPr>
              <w:t>高级等级保护测评师</w:t>
            </w:r>
            <w:r>
              <w:rPr>
                <w:rFonts w:hint="eastAsia" w:ascii="宋体" w:hAnsi="宋体" w:eastAsia="宋体" w:cs="宋体"/>
                <w:bCs/>
                <w:szCs w:val="21"/>
                <w:highlight w:val="none"/>
              </w:rPr>
              <w:t>证书的人员不少于4名，全部测评师不少于40名的，得2分；</w:t>
            </w:r>
          </w:p>
          <w:p>
            <w:pPr>
              <w:widowControl/>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投标单位持有高级测评师证书的人员不少于2名，全部测评师不少于30名的，得1分；</w:t>
            </w:r>
          </w:p>
          <w:p>
            <w:pPr>
              <w:widowControl/>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投标单位持有高级测评师证书的人员不少于1名，全部测评师不少于20名的，得0.5分。</w:t>
            </w:r>
          </w:p>
          <w:p>
            <w:pPr>
              <w:widowControl/>
              <w:rPr>
                <w:rFonts w:ascii="宋体" w:hAnsi="宋体" w:eastAsia="宋体" w:cs="宋体"/>
                <w:kern w:val="0"/>
                <w:szCs w:val="21"/>
                <w:highlight w:val="none"/>
              </w:rPr>
            </w:pPr>
            <w:r>
              <w:rPr>
                <w:rFonts w:hint="eastAsia" w:ascii="宋体" w:hAnsi="宋体" w:eastAsia="宋体" w:cs="宋体"/>
                <w:bCs/>
                <w:szCs w:val="21"/>
                <w:highlight w:val="none"/>
                <w:lang w:val="en-US" w:eastAsia="zh-CN"/>
              </w:rPr>
              <w:t>注：</w:t>
            </w:r>
            <w:r>
              <w:rPr>
                <w:rFonts w:hint="eastAsia" w:ascii="宋体" w:hAnsi="宋体" w:eastAsia="宋体" w:cs="宋体"/>
                <w:bCs/>
                <w:szCs w:val="21"/>
                <w:highlight w:val="none"/>
              </w:rPr>
              <w:t>以“网络安全等级保护网（http://www.djbh.net）最新信息为准”。</w:t>
            </w:r>
          </w:p>
        </w:tc>
        <w:tc>
          <w:tcPr>
            <w:tcW w:w="1193" w:type="dxa"/>
            <w:vAlign w:val="center"/>
          </w:tcPr>
          <w:p>
            <w:pPr>
              <w:widowControl/>
              <w:jc w:val="center"/>
              <w:rPr>
                <w:rFonts w:ascii="宋体" w:hAnsi="宋体"/>
                <w:kern w:val="0"/>
                <w:szCs w:val="21"/>
                <w:highlight w:val="none"/>
              </w:rPr>
            </w:pPr>
            <w:r>
              <w:rPr>
                <w:rFonts w:hint="eastAsia" w:ascii="宋体" w:hAnsi="宋体"/>
                <w:kern w:val="0"/>
                <w:szCs w:val="21"/>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Merge w:val="continue"/>
            <w:vAlign w:val="center"/>
          </w:tcPr>
          <w:p>
            <w:pPr>
              <w:jc w:val="center"/>
              <w:rPr>
                <w:rFonts w:ascii="宋体" w:hAnsi="宋体"/>
                <w:szCs w:val="21"/>
                <w:highlight w:val="none"/>
              </w:rPr>
            </w:pPr>
          </w:p>
        </w:tc>
        <w:tc>
          <w:tcPr>
            <w:tcW w:w="1896" w:type="dxa"/>
            <w:vAlign w:val="center"/>
          </w:tcPr>
          <w:p>
            <w:pPr>
              <w:widowControl/>
              <w:rPr>
                <w:rFonts w:ascii="宋体" w:hAnsi="宋体"/>
                <w:kern w:val="0"/>
                <w:szCs w:val="21"/>
                <w:highlight w:val="none"/>
              </w:rPr>
            </w:pPr>
            <w:r>
              <w:rPr>
                <w:rFonts w:hint="eastAsia" w:ascii="宋体" w:hAnsi="宋体"/>
                <w:kern w:val="0"/>
                <w:szCs w:val="21"/>
                <w:highlight w:val="none"/>
              </w:rPr>
              <w:t>投标人近三年完成类似项目业绩的评价（10分）</w:t>
            </w:r>
          </w:p>
        </w:tc>
        <w:tc>
          <w:tcPr>
            <w:tcW w:w="5143" w:type="dxa"/>
            <w:vAlign w:val="center"/>
          </w:tcPr>
          <w:p>
            <w:pPr>
              <w:widowControl/>
              <w:rPr>
                <w:rFonts w:ascii="宋体" w:hAnsi="宋体" w:eastAsia="宋体" w:cs="宋体"/>
                <w:kern w:val="0"/>
                <w:szCs w:val="21"/>
                <w:highlight w:val="none"/>
              </w:rPr>
            </w:pPr>
            <w:r>
              <w:rPr>
                <w:rFonts w:hint="eastAsia" w:ascii="宋体" w:hAnsi="宋体" w:eastAsia="宋体" w:cs="宋体"/>
                <w:kern w:val="0"/>
                <w:szCs w:val="21"/>
                <w:highlight w:val="none"/>
              </w:rPr>
              <w:t>根据投标人近三年（202</w:t>
            </w:r>
            <w:r>
              <w:rPr>
                <w:rFonts w:hint="default" w:ascii="宋体" w:hAnsi="宋体" w:eastAsia="宋体" w:cs="宋体"/>
                <w:kern w:val="0"/>
                <w:szCs w:val="21"/>
                <w:highlight w:val="none"/>
                <w:lang w:val="en"/>
              </w:rPr>
              <w:t>2</w:t>
            </w:r>
            <w:r>
              <w:rPr>
                <w:rFonts w:hint="eastAsia" w:ascii="宋体" w:hAnsi="宋体" w:eastAsia="宋体" w:cs="宋体"/>
                <w:kern w:val="0"/>
                <w:szCs w:val="21"/>
                <w:highlight w:val="none"/>
              </w:rPr>
              <w:t>年1月至本次采购招标公告发布前）承担等保测评案例进行评价，有1项案例得2分，最高分为10分。</w:t>
            </w:r>
          </w:p>
          <w:p>
            <w:pPr>
              <w:widowControl/>
              <w:rPr>
                <w:rFonts w:ascii="宋体" w:hAnsi="宋体" w:eastAsia="宋体" w:cs="宋体"/>
                <w:kern w:val="0"/>
                <w:szCs w:val="21"/>
                <w:highlight w:val="none"/>
              </w:rPr>
            </w:pPr>
            <w:r>
              <w:rPr>
                <w:rFonts w:hint="eastAsia" w:ascii="宋体" w:hAnsi="宋体" w:eastAsia="宋体" w:cs="宋体"/>
                <w:kern w:val="0"/>
                <w:szCs w:val="21"/>
                <w:highlight w:val="none"/>
              </w:rPr>
              <w:t>注：须提供合同首页、关键条款页、合同金额页、双方签字盖章页的复印件，并加盖投标人公章，否则不予认可。</w:t>
            </w:r>
          </w:p>
        </w:tc>
        <w:tc>
          <w:tcPr>
            <w:tcW w:w="1193" w:type="dxa"/>
            <w:vAlign w:val="center"/>
          </w:tcPr>
          <w:p>
            <w:pPr>
              <w:widowControl/>
              <w:jc w:val="center"/>
              <w:rPr>
                <w:rFonts w:ascii="宋体" w:hAnsi="宋体"/>
                <w:kern w:val="0"/>
                <w:szCs w:val="21"/>
                <w:highlight w:val="none"/>
              </w:rPr>
            </w:pPr>
            <w:r>
              <w:rPr>
                <w:rFonts w:hint="eastAsia" w:ascii="宋体" w:hAnsi="宋体"/>
                <w:kern w:val="0"/>
                <w:szCs w:val="21"/>
                <w:highlight w:val="none"/>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631" w:type="dxa"/>
            <w:vMerge w:val="restart"/>
            <w:vAlign w:val="center"/>
          </w:tcPr>
          <w:p>
            <w:pPr>
              <w:rPr>
                <w:rFonts w:ascii="宋体" w:hAnsi="宋体"/>
                <w:szCs w:val="21"/>
                <w:highlight w:val="none"/>
              </w:rPr>
            </w:pPr>
            <w:r>
              <w:rPr>
                <w:rFonts w:hint="eastAsia" w:ascii="宋体" w:hAnsi="宋体"/>
                <w:szCs w:val="21"/>
                <w:highlight w:val="none"/>
              </w:rPr>
              <w:t>技术部分</w:t>
            </w:r>
          </w:p>
          <w:p>
            <w:pPr>
              <w:jc w:val="center"/>
              <w:rPr>
                <w:rFonts w:ascii="宋体" w:hAnsi="宋体"/>
                <w:szCs w:val="21"/>
                <w:highlight w:val="none"/>
              </w:rPr>
            </w:pPr>
            <w:r>
              <w:rPr>
                <w:rFonts w:hint="eastAsia" w:ascii="宋体" w:hAnsi="宋体"/>
                <w:szCs w:val="21"/>
                <w:highlight w:val="none"/>
              </w:rPr>
              <w:t>（71分）</w:t>
            </w:r>
          </w:p>
        </w:tc>
        <w:tc>
          <w:tcPr>
            <w:tcW w:w="1896" w:type="dxa"/>
            <w:vMerge w:val="restart"/>
            <w:vAlign w:val="center"/>
          </w:tcPr>
          <w:p>
            <w:pPr>
              <w:rPr>
                <w:rFonts w:ascii="宋体" w:hAnsi="宋体"/>
                <w:kern w:val="0"/>
                <w:szCs w:val="21"/>
                <w:highlight w:val="none"/>
              </w:rPr>
            </w:pPr>
            <w:r>
              <w:rPr>
                <w:rFonts w:hint="eastAsia" w:ascii="宋体" w:hAnsi="宋体"/>
                <w:kern w:val="0"/>
                <w:szCs w:val="21"/>
                <w:highlight w:val="none"/>
              </w:rPr>
              <w:t>人员配置（20分）</w:t>
            </w:r>
          </w:p>
        </w:tc>
        <w:tc>
          <w:tcPr>
            <w:tcW w:w="5143" w:type="dxa"/>
            <w:vAlign w:val="center"/>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lang w:val="en-US" w:eastAsia="zh-CN"/>
              </w:rPr>
              <w:t>项目经理</w:t>
            </w:r>
            <w:r>
              <w:rPr>
                <w:rFonts w:hint="eastAsia" w:ascii="宋体" w:hAnsi="宋体" w:cs="宋体"/>
                <w:kern w:val="0"/>
                <w:szCs w:val="21"/>
                <w:highlight w:val="none"/>
              </w:rPr>
              <w:t>具有</w:t>
            </w:r>
            <w:r>
              <w:rPr>
                <w:rFonts w:ascii="宋体" w:hAnsi="宋体" w:cs="宋体"/>
                <w:kern w:val="0"/>
                <w:szCs w:val="21"/>
                <w:highlight w:val="none"/>
              </w:rPr>
              <w:t>5</w:t>
            </w:r>
            <w:r>
              <w:rPr>
                <w:rFonts w:hint="eastAsia" w:ascii="宋体" w:hAnsi="宋体" w:cs="宋体"/>
                <w:kern w:val="0"/>
                <w:szCs w:val="21"/>
                <w:highlight w:val="none"/>
              </w:rPr>
              <w:t>年以上安全服务项目经验</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并</w:t>
            </w:r>
            <w:r>
              <w:rPr>
                <w:rFonts w:hint="eastAsia" w:ascii="宋体" w:hAnsi="宋体" w:cs="宋体"/>
                <w:kern w:val="0"/>
                <w:szCs w:val="21"/>
                <w:highlight w:val="none"/>
              </w:rPr>
              <w:t>具备高级等级保护测评师资质得3分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否则不得分</w:t>
            </w:r>
            <w:r>
              <w:rPr>
                <w:rFonts w:hint="eastAsia" w:ascii="宋体" w:hAnsi="宋体" w:cs="宋体"/>
                <w:kern w:val="0"/>
                <w:szCs w:val="21"/>
                <w:highlight w:val="none"/>
              </w:rPr>
              <w:t>；</w:t>
            </w:r>
          </w:p>
          <w:p>
            <w:pPr>
              <w:widowControl/>
              <w:spacing w:line="400" w:lineRule="exact"/>
              <w:jc w:val="left"/>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lang w:val="en-US" w:eastAsia="zh-CN"/>
              </w:rPr>
              <w:t>项目经理</w:t>
            </w:r>
            <w:r>
              <w:rPr>
                <w:rFonts w:hint="eastAsia" w:ascii="宋体" w:hAnsi="宋体" w:cs="宋体"/>
                <w:kern w:val="0"/>
                <w:szCs w:val="21"/>
                <w:highlight w:val="none"/>
              </w:rPr>
              <w:t>具备人社部或省级人社厅（局）、中央各单位、国务院各单位、中央企业本部认可的信息安全专业副高或正高职称得4分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否则不得分</w:t>
            </w:r>
            <w:r>
              <w:rPr>
                <w:rFonts w:hint="eastAsia" w:ascii="宋体" w:hAnsi="宋体" w:cs="宋体"/>
                <w:kern w:val="0"/>
                <w:szCs w:val="21"/>
                <w:highlight w:val="none"/>
              </w:rPr>
              <w:t>；</w:t>
            </w:r>
          </w:p>
          <w:p>
            <w:pPr>
              <w:rPr>
                <w:rFonts w:ascii="宋体" w:hAnsi="宋体"/>
                <w:szCs w:val="21"/>
                <w:highlight w:val="none"/>
              </w:rPr>
            </w:pPr>
            <w:r>
              <w:rPr>
                <w:rFonts w:hint="eastAsia" w:ascii="宋体" w:hAnsi="宋体" w:cs="宋体"/>
                <w:kern w:val="0"/>
                <w:szCs w:val="21"/>
                <w:highlight w:val="none"/>
              </w:rPr>
              <w:t>注：须提供项目经理简历、近半年社保证明、资质证书清晰扫描件等相关证明文件复印件。</w:t>
            </w:r>
          </w:p>
        </w:tc>
        <w:tc>
          <w:tcPr>
            <w:tcW w:w="1193" w:type="dxa"/>
            <w:vAlign w:val="center"/>
          </w:tcPr>
          <w:p>
            <w:pPr>
              <w:jc w:val="center"/>
              <w:rPr>
                <w:rFonts w:ascii="宋体" w:hAnsi="宋体" w:cs="宋体"/>
                <w:kern w:val="0"/>
                <w:szCs w:val="21"/>
                <w:highlight w:val="none"/>
              </w:rPr>
            </w:pPr>
            <w:r>
              <w:rPr>
                <w:rFonts w:ascii="宋体" w:hAnsi="宋体" w:cs="宋体"/>
                <w:kern w:val="0"/>
                <w:szCs w:val="21"/>
                <w:highlight w:val="none"/>
              </w:rPr>
              <w:t>7</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631" w:type="dxa"/>
            <w:vMerge w:val="continue"/>
            <w:vAlign w:val="center"/>
          </w:tcPr>
          <w:p>
            <w:pPr>
              <w:rPr>
                <w:rFonts w:ascii="宋体" w:hAnsi="宋体"/>
                <w:szCs w:val="21"/>
                <w:highlight w:val="none"/>
              </w:rPr>
            </w:pPr>
          </w:p>
        </w:tc>
        <w:tc>
          <w:tcPr>
            <w:tcW w:w="1896" w:type="dxa"/>
            <w:vMerge w:val="continue"/>
            <w:vAlign w:val="center"/>
          </w:tcPr>
          <w:p>
            <w:pPr>
              <w:rPr>
                <w:rFonts w:ascii="宋体" w:hAnsi="宋体"/>
                <w:kern w:val="0"/>
                <w:szCs w:val="21"/>
                <w:highlight w:val="none"/>
              </w:rPr>
            </w:pP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投标人拟派的项目团队成员（项目经理除外）应具有如下条件：</w:t>
            </w:r>
          </w:p>
          <w:p>
            <w:pPr>
              <w:widowControl/>
              <w:spacing w:line="400" w:lineRule="exact"/>
              <w:jc w:val="left"/>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具有高级等级保护测评师证书3个或以上的</w:t>
            </w:r>
            <w:r>
              <w:rPr>
                <w:rFonts w:ascii="宋体" w:hAnsi="宋体" w:cs="宋体"/>
                <w:kern w:val="0"/>
                <w:szCs w:val="21"/>
                <w:highlight w:val="none"/>
              </w:rPr>
              <w:t>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分，2个以上的得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分，1个以上得1分，没有不得分；</w:t>
            </w:r>
          </w:p>
          <w:p>
            <w:pPr>
              <w:widowControl/>
              <w:spacing w:line="400" w:lineRule="exact"/>
              <w:jc w:val="left"/>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同时具备等级保护测评师证书和人社部或省级人社厅（局）、中央各单位、国务院各单位、中央企业本部认可的信息安全专业的职称的</w:t>
            </w:r>
            <w:r>
              <w:rPr>
                <w:rFonts w:ascii="宋体" w:hAnsi="宋体" w:cs="宋体"/>
                <w:kern w:val="0"/>
                <w:szCs w:val="21"/>
                <w:highlight w:val="none"/>
              </w:rPr>
              <w:t>，每提供一个证书得</w:t>
            </w:r>
            <w:r>
              <w:rPr>
                <w:rFonts w:hint="eastAsia" w:ascii="宋体" w:hAnsi="宋体" w:cs="宋体"/>
                <w:kern w:val="0"/>
                <w:szCs w:val="21"/>
                <w:highlight w:val="none"/>
              </w:rPr>
              <w:t>0.5</w:t>
            </w:r>
            <w:r>
              <w:rPr>
                <w:rFonts w:ascii="宋体" w:hAnsi="宋体" w:cs="宋体"/>
                <w:kern w:val="0"/>
                <w:szCs w:val="21"/>
                <w:highlight w:val="none"/>
              </w:rPr>
              <w:t>分，最高得5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否则不得分</w:t>
            </w:r>
            <w:r>
              <w:rPr>
                <w:rFonts w:hint="eastAsia" w:ascii="宋体" w:hAnsi="宋体" w:cs="宋体"/>
                <w:kern w:val="0"/>
                <w:szCs w:val="21"/>
                <w:highlight w:val="none"/>
              </w:rPr>
              <w:t>。</w:t>
            </w:r>
          </w:p>
          <w:p>
            <w:pPr>
              <w:rPr>
                <w:rFonts w:ascii="宋体" w:hAnsi="宋体"/>
                <w:szCs w:val="21"/>
                <w:highlight w:val="none"/>
              </w:rPr>
            </w:pPr>
            <w:r>
              <w:rPr>
                <w:rFonts w:hint="eastAsia" w:ascii="宋体" w:hAnsi="宋体" w:cs="宋体"/>
                <w:kern w:val="0"/>
                <w:szCs w:val="21"/>
                <w:highlight w:val="none"/>
              </w:rPr>
              <w:t>注：须提供相关证明文件复印件</w:t>
            </w:r>
          </w:p>
        </w:tc>
        <w:tc>
          <w:tcPr>
            <w:tcW w:w="1193" w:type="dxa"/>
            <w:vAlign w:val="center"/>
          </w:tcPr>
          <w:p>
            <w:pPr>
              <w:jc w:val="center"/>
              <w:rPr>
                <w:rFonts w:ascii="宋体" w:hAnsi="宋体" w:cs="宋体"/>
                <w:kern w:val="0"/>
                <w:szCs w:val="21"/>
                <w:highlight w:val="none"/>
              </w:rPr>
            </w:pP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31" w:type="dxa"/>
            <w:vMerge w:val="continue"/>
            <w:vAlign w:val="center"/>
          </w:tcPr>
          <w:p>
            <w:pPr>
              <w:rPr>
                <w:rFonts w:ascii="宋体" w:hAnsi="宋体"/>
                <w:szCs w:val="21"/>
                <w:highlight w:val="none"/>
              </w:rPr>
            </w:pPr>
          </w:p>
        </w:tc>
        <w:tc>
          <w:tcPr>
            <w:tcW w:w="1896" w:type="dxa"/>
            <w:vMerge w:val="continue"/>
            <w:vAlign w:val="center"/>
          </w:tcPr>
          <w:p>
            <w:pPr>
              <w:rPr>
                <w:rFonts w:ascii="宋体" w:hAnsi="宋体"/>
                <w:kern w:val="0"/>
                <w:szCs w:val="21"/>
                <w:highlight w:val="none"/>
              </w:rPr>
            </w:pP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根据招标要求和投标技术响应情况，对项目组人员资历，项目组织机构，技术支持体系，人员配备，职责分工，对项目实际需要的契合度进行评价，其中：</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1）项目组织机构完整、人员配备合理，职责分工明确，对项目实际需要的契合度高，能完全满足招标文件要求的得</w:t>
            </w:r>
            <w:r>
              <w:rPr>
                <w:rFonts w:hint="eastAsia" w:ascii="宋体" w:hAnsi="宋体" w:cs="宋体"/>
                <w:kern w:val="0"/>
                <w:szCs w:val="21"/>
                <w:highlight w:val="none"/>
                <w:lang w:val="en-US" w:eastAsia="zh-CN"/>
              </w:rPr>
              <w:t>5</w:t>
            </w:r>
            <w:r>
              <w:rPr>
                <w:rFonts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2）项目组织机构基本完整、人员配备基本合理，职责分工基本明确，对项目实际需要的契合度较高，基本能满足招标文件要求的得</w:t>
            </w:r>
            <w:r>
              <w:rPr>
                <w:rFonts w:hint="eastAsia" w:ascii="宋体" w:hAnsi="宋体" w:cs="宋体"/>
                <w:kern w:val="0"/>
                <w:szCs w:val="21"/>
                <w:highlight w:val="none"/>
                <w:lang w:val="en-US" w:eastAsia="zh-CN"/>
              </w:rPr>
              <w:t>3</w:t>
            </w:r>
            <w:r>
              <w:rPr>
                <w:rFonts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3）未提供的项目组人员的有效资历，项目组织机构不完整、人员配备不合理，职责分工不明确，对项目实际需要的契合度低，只能部分满足招标文件要求的得</w:t>
            </w:r>
            <w:r>
              <w:rPr>
                <w:rFonts w:hint="eastAsia" w:ascii="宋体" w:hAnsi="宋体" w:cs="宋体"/>
                <w:kern w:val="0"/>
                <w:szCs w:val="21"/>
                <w:highlight w:val="none"/>
              </w:rPr>
              <w:t>1</w:t>
            </w:r>
            <w:r>
              <w:rPr>
                <w:rFonts w:ascii="宋体" w:hAnsi="宋体" w:cs="宋体"/>
                <w:kern w:val="0"/>
                <w:szCs w:val="21"/>
                <w:highlight w:val="none"/>
              </w:rPr>
              <w:t>分；</w:t>
            </w:r>
          </w:p>
          <w:p>
            <w:pPr>
              <w:widowControl/>
              <w:spacing w:line="400" w:lineRule="exact"/>
              <w:jc w:val="left"/>
              <w:rPr>
                <w:rFonts w:ascii="宋体" w:hAnsi="宋体"/>
                <w:szCs w:val="21"/>
                <w:highlight w:val="none"/>
              </w:rPr>
            </w:pPr>
            <w:r>
              <w:rPr>
                <w:rFonts w:hint="eastAsia" w:ascii="宋体" w:hAnsi="宋体" w:cs="宋体"/>
                <w:kern w:val="0"/>
                <w:szCs w:val="21"/>
                <w:highlight w:val="none"/>
              </w:rPr>
              <w:t>（</w:t>
            </w:r>
            <w:r>
              <w:rPr>
                <w:rFonts w:ascii="宋体" w:hAnsi="宋体" w:cs="宋体"/>
                <w:kern w:val="0"/>
                <w:szCs w:val="21"/>
                <w:highlight w:val="none"/>
              </w:rPr>
              <w:t>4）未提供人员的得0分。</w:t>
            </w:r>
          </w:p>
        </w:tc>
        <w:tc>
          <w:tcPr>
            <w:tcW w:w="1193" w:type="dxa"/>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31" w:type="dxa"/>
            <w:vMerge w:val="continue"/>
            <w:vAlign w:val="center"/>
          </w:tcPr>
          <w:p>
            <w:pPr>
              <w:widowControl/>
              <w:spacing w:line="400" w:lineRule="exact"/>
              <w:jc w:val="left"/>
              <w:rPr>
                <w:rFonts w:ascii="宋体" w:hAnsi="宋体" w:cs="宋体"/>
                <w:kern w:val="0"/>
                <w:szCs w:val="21"/>
                <w:highlight w:val="none"/>
              </w:rPr>
            </w:pPr>
          </w:p>
        </w:tc>
        <w:tc>
          <w:tcPr>
            <w:tcW w:w="1896" w:type="dxa"/>
            <w:vMerge w:val="restart"/>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技术方案（51分）</w:t>
            </w: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根据招标文件要求，对投标人提供的差距分析方案进行评价：</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）差距分析内容全面、具体、细致得</w:t>
            </w:r>
            <w:r>
              <w:rPr>
                <w:rFonts w:hint="eastAsia" w:ascii="宋体" w:hAnsi="宋体" w:cs="宋体"/>
                <w:kern w:val="0"/>
                <w:szCs w:val="21"/>
                <w:highlight w:val="none"/>
                <w:lang w:val="en-US" w:eastAsia="zh-CN"/>
              </w:rPr>
              <w:t>9</w:t>
            </w:r>
            <w:r>
              <w:rPr>
                <w:rFonts w:ascii="宋体" w:hAnsi="宋体" w:cs="宋体"/>
                <w:kern w:val="0"/>
                <w:szCs w:val="21"/>
                <w:highlight w:val="none"/>
              </w:rPr>
              <w:t>至</w:t>
            </w:r>
            <w:r>
              <w:rPr>
                <w:rFonts w:hint="eastAsia" w:ascii="宋体" w:hAnsi="宋体" w:cs="宋体"/>
                <w:kern w:val="0"/>
                <w:szCs w:val="21"/>
                <w:highlight w:val="none"/>
                <w:lang w:val="en-US" w:eastAsia="zh-CN"/>
              </w:rPr>
              <w:t>13</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）差距分析内容较全面、具体、细致得</w:t>
            </w:r>
            <w:r>
              <w:rPr>
                <w:rFonts w:hint="eastAsia" w:ascii="宋体" w:hAnsi="宋体" w:cs="宋体"/>
                <w:kern w:val="0"/>
                <w:szCs w:val="21"/>
                <w:highlight w:val="none"/>
                <w:lang w:val="en-US" w:eastAsia="zh-CN"/>
              </w:rPr>
              <w:t>5</w:t>
            </w:r>
            <w:r>
              <w:rPr>
                <w:rFonts w:ascii="宋体" w:hAnsi="宋体" w:cs="宋体"/>
                <w:kern w:val="0"/>
                <w:szCs w:val="21"/>
                <w:highlight w:val="none"/>
              </w:rPr>
              <w:t>至</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）差距分析内容部分满足招标文件要求，细致度一般得</w:t>
            </w:r>
            <w:r>
              <w:rPr>
                <w:rFonts w:hint="eastAsia" w:ascii="宋体" w:hAnsi="宋体" w:cs="宋体"/>
                <w:kern w:val="0"/>
                <w:szCs w:val="21"/>
                <w:highlight w:val="none"/>
                <w:lang w:val="en-US" w:eastAsia="zh-CN"/>
              </w:rPr>
              <w:t>1</w:t>
            </w:r>
            <w:r>
              <w:rPr>
                <w:rFonts w:ascii="宋体" w:hAnsi="宋体" w:cs="宋体"/>
                <w:kern w:val="0"/>
                <w:szCs w:val="21"/>
                <w:highlight w:val="none"/>
              </w:rPr>
              <w:t>至</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）未提供得</w:t>
            </w:r>
            <w:r>
              <w:rPr>
                <w:rFonts w:ascii="宋体" w:hAnsi="宋体" w:cs="宋体"/>
                <w:kern w:val="0"/>
                <w:szCs w:val="21"/>
                <w:highlight w:val="none"/>
              </w:rPr>
              <w:t>0</w:t>
            </w:r>
            <w:r>
              <w:rPr>
                <w:rFonts w:hint="eastAsia" w:ascii="宋体" w:hAnsi="宋体" w:cs="宋体"/>
                <w:kern w:val="0"/>
                <w:szCs w:val="21"/>
                <w:highlight w:val="none"/>
              </w:rPr>
              <w:t>分。</w:t>
            </w:r>
          </w:p>
        </w:tc>
        <w:tc>
          <w:tcPr>
            <w:tcW w:w="1193" w:type="dxa"/>
            <w:vAlign w:val="center"/>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13</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631" w:type="dxa"/>
            <w:vMerge w:val="continue"/>
            <w:vAlign w:val="center"/>
          </w:tcPr>
          <w:p>
            <w:pPr>
              <w:widowControl/>
              <w:spacing w:line="400" w:lineRule="exact"/>
              <w:jc w:val="left"/>
              <w:rPr>
                <w:rFonts w:ascii="宋体" w:hAnsi="宋体" w:cs="宋体"/>
                <w:kern w:val="0"/>
                <w:szCs w:val="21"/>
                <w:highlight w:val="none"/>
              </w:rPr>
            </w:pPr>
          </w:p>
        </w:tc>
        <w:tc>
          <w:tcPr>
            <w:tcW w:w="1896" w:type="dxa"/>
            <w:vMerge w:val="continue"/>
            <w:vAlign w:val="center"/>
          </w:tcPr>
          <w:p>
            <w:pPr>
              <w:widowControl/>
              <w:spacing w:line="400" w:lineRule="exact"/>
              <w:jc w:val="left"/>
              <w:rPr>
                <w:rFonts w:ascii="宋体" w:hAnsi="宋体" w:cs="宋体"/>
                <w:kern w:val="0"/>
                <w:szCs w:val="21"/>
                <w:highlight w:val="none"/>
              </w:rPr>
            </w:pP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根据招标文件要求，对投标人提供的安全整改咨询方案进行评价：</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）安全整改咨询方案全面、具体、可操作性强得</w:t>
            </w:r>
            <w:r>
              <w:rPr>
                <w:rFonts w:hint="eastAsia" w:ascii="宋体" w:hAnsi="宋体" w:cs="宋体"/>
                <w:kern w:val="0"/>
                <w:szCs w:val="21"/>
                <w:highlight w:val="none"/>
                <w:lang w:val="en-US" w:eastAsia="zh-CN"/>
              </w:rPr>
              <w:t>9</w:t>
            </w:r>
            <w:r>
              <w:rPr>
                <w:rFonts w:ascii="宋体" w:hAnsi="宋体" w:cs="宋体"/>
                <w:kern w:val="0"/>
                <w:szCs w:val="21"/>
                <w:highlight w:val="none"/>
              </w:rPr>
              <w:t>至</w:t>
            </w:r>
            <w:r>
              <w:rPr>
                <w:rFonts w:hint="eastAsia" w:ascii="宋体" w:hAnsi="宋体" w:cs="宋体"/>
                <w:kern w:val="0"/>
                <w:szCs w:val="21"/>
                <w:highlight w:val="none"/>
                <w:lang w:val="en-US" w:eastAsia="zh-CN"/>
              </w:rPr>
              <w:t>13</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）安全整改咨询方案较全面、具体、可操作性较强得</w:t>
            </w:r>
            <w:r>
              <w:rPr>
                <w:rFonts w:hint="eastAsia" w:ascii="宋体" w:hAnsi="宋体" w:cs="宋体"/>
                <w:kern w:val="0"/>
                <w:szCs w:val="21"/>
                <w:highlight w:val="none"/>
                <w:lang w:val="en-US" w:eastAsia="zh-CN"/>
              </w:rPr>
              <w:t>5</w:t>
            </w:r>
            <w:r>
              <w:rPr>
                <w:rFonts w:ascii="宋体" w:hAnsi="宋体" w:cs="宋体"/>
                <w:kern w:val="0"/>
                <w:szCs w:val="21"/>
                <w:highlight w:val="none"/>
              </w:rPr>
              <w:t>至</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）安全整改咨询方案全面性、具体性一般、可操作性一般得</w:t>
            </w:r>
            <w:r>
              <w:rPr>
                <w:rFonts w:hint="eastAsia" w:ascii="宋体" w:hAnsi="宋体" w:cs="宋体"/>
                <w:kern w:val="0"/>
                <w:szCs w:val="21"/>
                <w:highlight w:val="none"/>
                <w:lang w:val="en-US" w:eastAsia="zh-CN"/>
              </w:rPr>
              <w:t>1</w:t>
            </w:r>
            <w:r>
              <w:rPr>
                <w:rFonts w:ascii="宋体" w:hAnsi="宋体" w:cs="宋体"/>
                <w:kern w:val="0"/>
                <w:szCs w:val="21"/>
                <w:highlight w:val="none"/>
              </w:rPr>
              <w:t>至</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）未提供得</w:t>
            </w:r>
            <w:r>
              <w:rPr>
                <w:rFonts w:ascii="宋体" w:hAnsi="宋体" w:cs="宋体"/>
                <w:kern w:val="0"/>
                <w:szCs w:val="21"/>
                <w:highlight w:val="none"/>
              </w:rPr>
              <w:t>0</w:t>
            </w:r>
            <w:r>
              <w:rPr>
                <w:rFonts w:hint="eastAsia" w:ascii="宋体" w:hAnsi="宋体" w:cs="宋体"/>
                <w:kern w:val="0"/>
                <w:szCs w:val="21"/>
                <w:highlight w:val="none"/>
              </w:rPr>
              <w:t>分。</w:t>
            </w:r>
          </w:p>
        </w:tc>
        <w:tc>
          <w:tcPr>
            <w:tcW w:w="1193" w:type="dxa"/>
            <w:vAlign w:val="center"/>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13</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jc w:val="center"/>
        </w:trPr>
        <w:tc>
          <w:tcPr>
            <w:tcW w:w="1631" w:type="dxa"/>
            <w:vMerge w:val="continue"/>
            <w:vAlign w:val="center"/>
          </w:tcPr>
          <w:p>
            <w:pPr>
              <w:widowControl/>
              <w:spacing w:line="400" w:lineRule="exact"/>
              <w:jc w:val="left"/>
              <w:rPr>
                <w:rFonts w:ascii="宋体" w:hAnsi="宋体" w:cs="宋体"/>
                <w:kern w:val="0"/>
                <w:szCs w:val="21"/>
                <w:highlight w:val="none"/>
              </w:rPr>
            </w:pPr>
          </w:p>
        </w:tc>
        <w:tc>
          <w:tcPr>
            <w:tcW w:w="1896" w:type="dxa"/>
            <w:vMerge w:val="continue"/>
            <w:vAlign w:val="center"/>
          </w:tcPr>
          <w:p>
            <w:pPr>
              <w:widowControl/>
              <w:spacing w:line="400" w:lineRule="exact"/>
              <w:jc w:val="left"/>
              <w:rPr>
                <w:rFonts w:ascii="宋体" w:hAnsi="宋体" w:cs="宋体"/>
                <w:kern w:val="0"/>
                <w:szCs w:val="21"/>
                <w:highlight w:val="none"/>
              </w:rPr>
            </w:pP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根据招标文件要求，对投标人提供的等保测评服务方案进行评价：</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）等保测评服务方案全面细致，测评实现技术描述清晰，风险控制措施完善、可行，测评时效和成果输出符合招标要求，得</w:t>
            </w:r>
            <w:r>
              <w:rPr>
                <w:rFonts w:hint="eastAsia" w:ascii="宋体" w:hAnsi="宋体" w:cs="宋体"/>
                <w:kern w:val="0"/>
                <w:szCs w:val="21"/>
                <w:highlight w:val="none"/>
                <w:lang w:val="en-US" w:eastAsia="zh-CN"/>
              </w:rPr>
              <w:t>9</w:t>
            </w:r>
            <w:r>
              <w:rPr>
                <w:rFonts w:ascii="宋体" w:hAnsi="宋体" w:cs="宋体"/>
                <w:kern w:val="0"/>
                <w:szCs w:val="21"/>
                <w:highlight w:val="none"/>
              </w:rPr>
              <w:t>至</w:t>
            </w:r>
            <w:r>
              <w:rPr>
                <w:rFonts w:hint="eastAsia" w:ascii="宋体" w:hAnsi="宋体" w:cs="宋体"/>
                <w:kern w:val="0"/>
                <w:szCs w:val="21"/>
                <w:highlight w:val="none"/>
                <w:lang w:val="en-US" w:eastAsia="zh-CN"/>
              </w:rPr>
              <w:t>13</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）等保测评服务方案较全面细致，测评实现技术描述较清晰，风险控制措施较完善、可行，测评时效和成果输出基本符合招标要求，得</w:t>
            </w:r>
            <w:r>
              <w:rPr>
                <w:rFonts w:hint="eastAsia" w:ascii="宋体" w:hAnsi="宋体" w:cs="宋体"/>
                <w:kern w:val="0"/>
                <w:szCs w:val="21"/>
                <w:highlight w:val="none"/>
                <w:lang w:val="en-US" w:eastAsia="zh-CN"/>
              </w:rPr>
              <w:t>5</w:t>
            </w:r>
            <w:r>
              <w:rPr>
                <w:rFonts w:ascii="宋体" w:hAnsi="宋体" w:cs="宋体"/>
                <w:kern w:val="0"/>
                <w:szCs w:val="21"/>
                <w:highlight w:val="none"/>
              </w:rPr>
              <w:t>至</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）测评服务方案不全面，测评实现技术描述不清晰，风险控制措施不可行，测评时效和成果输出不符合招标要求，得</w:t>
            </w:r>
            <w:r>
              <w:rPr>
                <w:rFonts w:hint="eastAsia" w:ascii="宋体" w:hAnsi="宋体" w:cs="宋体"/>
                <w:kern w:val="0"/>
                <w:szCs w:val="21"/>
                <w:highlight w:val="none"/>
                <w:lang w:val="en-US" w:eastAsia="zh-CN"/>
              </w:rPr>
              <w:t>1</w:t>
            </w:r>
            <w:r>
              <w:rPr>
                <w:rFonts w:ascii="宋体" w:hAnsi="宋体" w:cs="宋体"/>
                <w:kern w:val="0"/>
                <w:szCs w:val="21"/>
                <w:highlight w:val="none"/>
              </w:rPr>
              <w:t>至</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）未提供得</w:t>
            </w:r>
            <w:r>
              <w:rPr>
                <w:rFonts w:ascii="宋体" w:hAnsi="宋体" w:cs="宋体"/>
                <w:kern w:val="0"/>
                <w:szCs w:val="21"/>
                <w:highlight w:val="none"/>
              </w:rPr>
              <w:t>0</w:t>
            </w:r>
            <w:r>
              <w:rPr>
                <w:rFonts w:hint="eastAsia" w:ascii="宋体" w:hAnsi="宋体" w:cs="宋体"/>
                <w:kern w:val="0"/>
                <w:szCs w:val="21"/>
                <w:highlight w:val="none"/>
              </w:rPr>
              <w:t>分。</w:t>
            </w:r>
          </w:p>
        </w:tc>
        <w:tc>
          <w:tcPr>
            <w:tcW w:w="1193" w:type="dxa"/>
            <w:vAlign w:val="center"/>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13</w:t>
            </w:r>
            <w:r>
              <w:rPr>
                <w:rFonts w:hint="eastAsia" w:ascii="宋体" w:hAnsi="宋体" w:cs="宋体"/>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631" w:type="dxa"/>
            <w:vMerge w:val="continue"/>
            <w:vAlign w:val="center"/>
          </w:tcPr>
          <w:p>
            <w:pPr>
              <w:widowControl/>
              <w:spacing w:line="400" w:lineRule="exact"/>
              <w:jc w:val="left"/>
              <w:rPr>
                <w:rFonts w:ascii="宋体" w:hAnsi="宋体" w:cs="宋体"/>
                <w:kern w:val="0"/>
                <w:szCs w:val="21"/>
                <w:highlight w:val="none"/>
              </w:rPr>
            </w:pPr>
          </w:p>
        </w:tc>
        <w:tc>
          <w:tcPr>
            <w:tcW w:w="1896" w:type="dxa"/>
            <w:vMerge w:val="continue"/>
            <w:vAlign w:val="center"/>
          </w:tcPr>
          <w:p>
            <w:pPr>
              <w:widowControl/>
              <w:spacing w:line="400" w:lineRule="exact"/>
              <w:jc w:val="left"/>
              <w:rPr>
                <w:rFonts w:ascii="宋体" w:hAnsi="宋体" w:cs="宋体"/>
                <w:kern w:val="0"/>
                <w:szCs w:val="21"/>
                <w:highlight w:val="none"/>
              </w:rPr>
            </w:pPr>
          </w:p>
        </w:tc>
        <w:tc>
          <w:tcPr>
            <w:tcW w:w="5143" w:type="dxa"/>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提供符合实际情况的质量保障措施方案；</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）质量保障措施方案内容全面、合理、切实可行得</w:t>
            </w:r>
            <w:r>
              <w:rPr>
                <w:rFonts w:hint="eastAsia" w:ascii="宋体" w:hAnsi="宋体" w:cs="宋体"/>
                <w:kern w:val="0"/>
                <w:szCs w:val="21"/>
                <w:highlight w:val="none"/>
                <w:lang w:val="en-US" w:eastAsia="zh-CN"/>
              </w:rPr>
              <w:t>8</w:t>
            </w:r>
            <w:r>
              <w:rPr>
                <w:rFonts w:ascii="宋体" w:hAnsi="宋体" w:cs="宋体"/>
                <w:kern w:val="0"/>
                <w:szCs w:val="21"/>
                <w:highlight w:val="none"/>
              </w:rPr>
              <w:t>至</w:t>
            </w:r>
            <w:r>
              <w:rPr>
                <w:rFonts w:hint="eastAsia" w:ascii="宋体" w:hAnsi="宋体" w:cs="宋体"/>
                <w:kern w:val="0"/>
                <w:szCs w:val="21"/>
                <w:highlight w:val="none"/>
                <w:lang w:val="en-US" w:eastAsia="zh-CN"/>
              </w:rPr>
              <w:t>12</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）质量保障措施方案内容较全面、较合理、比较切实可行得</w:t>
            </w:r>
            <w:r>
              <w:rPr>
                <w:rFonts w:hint="eastAsia" w:ascii="宋体" w:hAnsi="宋体" w:cs="宋体"/>
                <w:kern w:val="0"/>
                <w:szCs w:val="21"/>
                <w:highlight w:val="none"/>
                <w:lang w:val="en-US" w:eastAsia="zh-CN"/>
              </w:rPr>
              <w:t>4</w:t>
            </w:r>
            <w:r>
              <w:rPr>
                <w:rFonts w:ascii="宋体" w:hAnsi="宋体" w:cs="宋体"/>
                <w:kern w:val="0"/>
                <w:szCs w:val="21"/>
                <w:highlight w:val="none"/>
              </w:rPr>
              <w:t>至</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）质量保障措施方案内容全面性、合理性一般，可操作性一般得</w:t>
            </w:r>
            <w:r>
              <w:rPr>
                <w:rFonts w:hint="eastAsia" w:ascii="宋体" w:hAnsi="宋体" w:cs="宋体"/>
                <w:kern w:val="0"/>
                <w:szCs w:val="21"/>
                <w:highlight w:val="none"/>
                <w:lang w:val="en-US" w:eastAsia="zh-CN"/>
              </w:rPr>
              <w:t>1</w:t>
            </w:r>
            <w:r>
              <w:rPr>
                <w:rFonts w:ascii="宋体" w:hAnsi="宋体" w:cs="宋体"/>
                <w:kern w:val="0"/>
                <w:szCs w:val="21"/>
                <w:highlight w:val="none"/>
              </w:rPr>
              <w:t>至</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）未提供质量保障措施方案得</w:t>
            </w:r>
            <w:r>
              <w:rPr>
                <w:rFonts w:ascii="宋体" w:hAnsi="宋体" w:cs="宋体"/>
                <w:kern w:val="0"/>
                <w:szCs w:val="21"/>
                <w:highlight w:val="none"/>
              </w:rPr>
              <w:t>0</w:t>
            </w:r>
            <w:r>
              <w:rPr>
                <w:rFonts w:hint="eastAsia" w:ascii="宋体" w:hAnsi="宋体" w:cs="宋体"/>
                <w:kern w:val="0"/>
                <w:szCs w:val="21"/>
                <w:highlight w:val="none"/>
              </w:rPr>
              <w:t>分。</w:t>
            </w:r>
          </w:p>
        </w:tc>
        <w:tc>
          <w:tcPr>
            <w:tcW w:w="1193" w:type="dxa"/>
            <w:vAlign w:val="center"/>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12</w:t>
            </w:r>
            <w:r>
              <w:rPr>
                <w:rFonts w:hint="eastAsia" w:ascii="宋体" w:hAnsi="宋体" w:cs="宋体"/>
                <w:kern w:val="0"/>
                <w:szCs w:val="21"/>
                <w:highlight w:val="none"/>
              </w:rPr>
              <w:t>分</w:t>
            </w:r>
          </w:p>
        </w:tc>
      </w:tr>
    </w:tbl>
    <w:p>
      <w:pPr>
        <w:widowControl/>
        <w:spacing w:line="400" w:lineRule="exact"/>
        <w:jc w:val="left"/>
        <w:rPr>
          <w:rFonts w:ascii="宋体" w:hAnsi="宋体" w:cs="宋体"/>
          <w:kern w:val="0"/>
          <w:szCs w:val="21"/>
          <w:highlight w:val="none"/>
        </w:rPr>
      </w:pPr>
    </w:p>
    <w:p>
      <w:pPr>
        <w:pStyle w:val="4"/>
        <w:adjustRightInd/>
        <w:spacing w:before="120" w:after="120" w:line="660" w:lineRule="exact"/>
        <w:ind w:firstLine="640"/>
        <w:jc w:val="both"/>
        <w:textAlignment w:val="auto"/>
        <w:rPr>
          <w:rFonts w:ascii="黑体" w:hAnsi="黑体" w:eastAsia="黑体" w:cs="宋体"/>
          <w:b w:val="0"/>
          <w:kern w:val="0"/>
          <w:sz w:val="32"/>
          <w:szCs w:val="32"/>
          <w:highlight w:val="none"/>
        </w:rPr>
      </w:pPr>
      <w:r>
        <w:rPr>
          <w:rFonts w:hint="eastAsia" w:ascii="黑体" w:hAnsi="黑体" w:eastAsia="黑体" w:cs="宋体"/>
          <w:b w:val="0"/>
          <w:kern w:val="0"/>
          <w:sz w:val="32"/>
          <w:szCs w:val="32"/>
          <w:highlight w:val="none"/>
        </w:rPr>
        <w:t>十</w:t>
      </w:r>
      <w:r>
        <w:rPr>
          <w:rFonts w:ascii="黑体" w:hAnsi="黑体" w:eastAsia="黑体" w:cs="宋体"/>
          <w:b w:val="0"/>
          <w:kern w:val="0"/>
          <w:sz w:val="32"/>
          <w:szCs w:val="32"/>
          <w:highlight w:val="none"/>
        </w:rPr>
        <w:t>、</w:t>
      </w:r>
      <w:r>
        <w:rPr>
          <w:rFonts w:hint="eastAsia" w:ascii="黑体" w:hAnsi="黑体" w:eastAsia="黑体" w:cs="宋体"/>
          <w:b w:val="0"/>
          <w:kern w:val="0"/>
          <w:sz w:val="32"/>
          <w:szCs w:val="32"/>
          <w:highlight w:val="none"/>
        </w:rPr>
        <w:t>联系方式</w:t>
      </w:r>
    </w:p>
    <w:p>
      <w:pPr>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联系人：李老师、孟老师</w:t>
      </w:r>
    </w:p>
    <w:p>
      <w:pPr>
        <w:widowControl/>
        <w:spacing w:line="660" w:lineRule="exact"/>
        <w:ind w:firstLine="640" w:firstLineChars="200"/>
        <w:rPr>
          <w:rFonts w:ascii="仿宋" w:hAnsi="仿宋" w:eastAsia="仿宋_GB2312" w:cs="宋体"/>
          <w:kern w:val="0"/>
          <w:sz w:val="32"/>
          <w:szCs w:val="32"/>
          <w:highlight w:val="none"/>
        </w:rPr>
      </w:pPr>
      <w:r>
        <w:rPr>
          <w:rFonts w:hint="eastAsia" w:ascii="仿宋_GB2312" w:hAnsi="仿宋" w:eastAsia="仿宋_GB2312"/>
          <w:sz w:val="32"/>
          <w:szCs w:val="32"/>
          <w:highlight w:val="none"/>
        </w:rPr>
        <w:t>联系电话：010-55532251</w:t>
      </w:r>
    </w:p>
    <w:p>
      <w:pPr>
        <w:pStyle w:val="2"/>
        <w:ind w:left="0" w:leftChars="0" w:firstLine="0" w:firstLineChars="0"/>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pStyle w:val="2"/>
        <w:rPr>
          <w:rFonts w:ascii="方正小标宋简体" w:hAnsi="宋体" w:eastAsia="方正小标宋简体" w:cs="宋体"/>
          <w:bCs/>
          <w:sz w:val="40"/>
          <w:szCs w:val="36"/>
          <w:highlight w:val="none"/>
        </w:rPr>
      </w:pPr>
    </w:p>
    <w:p>
      <w:pPr>
        <w:pStyle w:val="2"/>
        <w:rPr>
          <w:rFonts w:ascii="方正小标宋简体" w:hAnsi="宋体" w:eastAsia="方正小标宋简体" w:cs="宋体"/>
          <w:bCs/>
          <w:sz w:val="40"/>
          <w:szCs w:val="36"/>
          <w:highlight w:val="none"/>
        </w:rPr>
      </w:pPr>
    </w:p>
    <w:p>
      <w:pPr>
        <w:pStyle w:val="2"/>
        <w:rPr>
          <w:rFonts w:ascii="方正小标宋简体" w:hAnsi="宋体" w:eastAsia="方正小标宋简体" w:cs="宋体"/>
          <w:bCs/>
          <w:sz w:val="40"/>
          <w:szCs w:val="36"/>
          <w:highlight w:val="none"/>
        </w:rPr>
      </w:pPr>
    </w:p>
    <w:p>
      <w:pPr>
        <w:jc w:val="center"/>
        <w:rPr>
          <w:rFonts w:ascii="方正小标宋简体" w:hAnsi="宋体" w:eastAsia="方正小标宋简体" w:cs="宋体"/>
          <w:bCs/>
          <w:sz w:val="40"/>
          <w:szCs w:val="36"/>
          <w:highlight w:val="none"/>
        </w:rPr>
      </w:pPr>
    </w:p>
    <w:p>
      <w:pPr>
        <w:pStyle w:val="2"/>
        <w:rPr>
          <w:highlight w:val="none"/>
        </w:rPr>
      </w:pPr>
    </w:p>
    <w:p>
      <w:pPr>
        <w:jc w:val="center"/>
        <w:rPr>
          <w:rFonts w:ascii="方正小标宋简体" w:hAnsi="宋体" w:eastAsia="方正小标宋简体" w:cs="宋体"/>
          <w:bCs/>
          <w:sz w:val="40"/>
          <w:szCs w:val="36"/>
          <w:highlight w:val="none"/>
        </w:rPr>
      </w:pPr>
      <w:r>
        <w:rPr>
          <w:rFonts w:hint="eastAsia" w:ascii="方正小标宋简体" w:hAnsi="宋体" w:eastAsia="方正小标宋简体" w:cs="宋体"/>
          <w:bCs/>
          <w:sz w:val="40"/>
          <w:szCs w:val="36"/>
          <w:highlight w:val="none"/>
        </w:rPr>
        <w:t>北京市卫生健康委员会会计核算服务中心</w:t>
      </w:r>
    </w:p>
    <w:p>
      <w:pPr>
        <w:jc w:val="center"/>
        <w:rPr>
          <w:rFonts w:ascii="方正小标宋简体" w:hAnsi="宋体" w:eastAsia="方正小标宋简体" w:cs="宋体"/>
          <w:bCs/>
          <w:sz w:val="40"/>
          <w:szCs w:val="36"/>
          <w:highlight w:val="none"/>
        </w:rPr>
      </w:pPr>
      <w:r>
        <w:rPr>
          <w:rFonts w:hint="eastAsia" w:ascii="方正小标宋简体" w:hAnsi="宋体" w:eastAsia="方正小标宋简体" w:cs="宋体"/>
          <w:bCs/>
          <w:sz w:val="40"/>
          <w:szCs w:val="36"/>
          <w:highlight w:val="none"/>
        </w:rPr>
        <w:t>项目承办申请书</w:t>
      </w:r>
    </w:p>
    <w:p>
      <w:pPr>
        <w:spacing w:before="156" w:beforeLines="50"/>
        <w:rPr>
          <w:rFonts w:ascii="黑体" w:eastAsia="黑体" w:cs="黑体"/>
          <w:sz w:val="32"/>
          <w:szCs w:val="32"/>
          <w:highlight w:val="none"/>
        </w:rPr>
      </w:pPr>
      <w:r>
        <w:rPr>
          <w:rFonts w:hint="eastAsia" w:ascii="黑体" w:eastAsia="黑体" w:cs="黑体"/>
          <w:sz w:val="32"/>
          <w:szCs w:val="32"/>
          <w:highlight w:val="none"/>
        </w:rPr>
        <w:t>一、基本情况</w:t>
      </w:r>
    </w:p>
    <w:tbl>
      <w:tblPr>
        <w:tblStyle w:val="12"/>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777"/>
        <w:gridCol w:w="2142"/>
        <w:gridCol w:w="1386"/>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项目名称</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spacing w:line="460" w:lineRule="exact"/>
              <w:ind w:left="1161" w:hanging="1161" w:hangingChars="645"/>
              <w:jc w:val="center"/>
              <w:rPr>
                <w:rFonts w:ascii="宋体" w:hAnsi="宋体" w:cs="宋体"/>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项目申报单位</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通讯地址</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宋体"/>
                <w:szCs w:val="21"/>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邮政编码</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电子信箱</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传真电话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r>
              <w:rPr>
                <w:rFonts w:hint="eastAsia" w:ascii="宋体" w:hAnsi="宋体" w:cs="宋体"/>
                <w:sz w:val="24"/>
                <w:szCs w:val="24"/>
                <w:highlight w:val="none"/>
              </w:rPr>
              <w:t>法定代表人</w:t>
            </w:r>
          </w:p>
        </w:tc>
        <w:tc>
          <w:tcPr>
            <w:tcW w:w="1932"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p>
        </w:tc>
        <w:tc>
          <w:tcPr>
            <w:tcW w:w="214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r>
              <w:rPr>
                <w:rFonts w:hint="eastAsia" w:ascii="宋体" w:hAnsi="宋体" w:cs="宋体"/>
                <w:sz w:val="24"/>
                <w:szCs w:val="24"/>
                <w:highlight w:val="none"/>
              </w:rPr>
              <w:t>统一社会信用代码</w:t>
            </w:r>
          </w:p>
        </w:tc>
        <w:tc>
          <w:tcPr>
            <w:tcW w:w="3486"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姓名</w:t>
            </w: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职务</w:t>
            </w: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办公电话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负责人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联系人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cs="宋体"/>
                <w:sz w:val="24"/>
                <w:szCs w:val="24"/>
                <w:highlight w:val="none"/>
              </w:rPr>
            </w:pPr>
            <w:r>
              <w:rPr>
                <w:rFonts w:hint="eastAsia" w:ascii="宋体" w:hAnsi="宋体" w:cs="宋体"/>
                <w:sz w:val="24"/>
                <w:szCs w:val="24"/>
                <w:highlight w:val="none"/>
              </w:rPr>
              <w:t>投标金额（单位：万元）</w:t>
            </w:r>
          </w:p>
        </w:tc>
        <w:tc>
          <w:tcPr>
            <w:tcW w:w="640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二、申报单位简介</w:t>
      </w:r>
    </w:p>
    <w:tbl>
      <w:tblPr>
        <w:tblStyle w:val="12"/>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2" w:hRule="atLeast"/>
        </w:trPr>
        <w:tc>
          <w:tcPr>
            <w:tcW w:w="9385" w:type="dxa"/>
            <w:tcBorders>
              <w:top w:val="single" w:color="auto" w:sz="6" w:space="0"/>
              <w:left w:val="single" w:color="auto" w:sz="6" w:space="0"/>
              <w:bottom w:val="single" w:color="auto" w:sz="6" w:space="0"/>
              <w:right w:val="single" w:color="auto" w:sz="6" w:space="0"/>
            </w:tcBorders>
          </w:tcPr>
          <w:p>
            <w:pPr>
              <w:rPr>
                <w:rFonts w:hint="eastAsia" w:ascii="仿宋_GB2312" w:hAnsi="Dotum" w:cs="仿宋_GB2312"/>
                <w:sz w:val="24"/>
                <w:szCs w:val="24"/>
                <w:highlight w:val="none"/>
              </w:rPr>
            </w:pPr>
          </w:p>
          <w:p>
            <w:pPr>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ind w:firstLine="480" w:firstLineChars="200"/>
              <w:rPr>
                <w:rFonts w:hint="eastAsia" w:ascii="仿宋_GB2312" w:hAnsi="Dotum" w:cs="仿宋_GB2312"/>
                <w:sz w:val="24"/>
                <w:szCs w:val="24"/>
                <w:highlight w:val="none"/>
              </w:rPr>
            </w:pPr>
          </w:p>
          <w:p>
            <w:pPr>
              <w:rPr>
                <w:rFonts w:hint="eastAsia" w:ascii="仿宋_GB2312" w:hAnsi="Dotum" w:cs="仿宋_GB2312"/>
                <w:sz w:val="24"/>
                <w:szCs w:val="24"/>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三、项目方案</w:t>
      </w:r>
    </w:p>
    <w:tbl>
      <w:tblPr>
        <w:tblStyle w:val="12"/>
        <w:tblW w:w="916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77" w:hRule="atLeast"/>
        </w:trPr>
        <w:tc>
          <w:tcPr>
            <w:tcW w:w="9166"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ind w:firstLine="750" w:firstLineChars="250"/>
              <w:rPr>
                <w:rFonts w:ascii="仿宋_GB2312" w:hAnsi="仿宋_GB2312" w:cs="仿宋_GB2312"/>
                <w:sz w:val="30"/>
                <w:highlight w:val="none"/>
              </w:rPr>
            </w:pPr>
            <w:r>
              <w:rPr>
                <w:rFonts w:hint="eastAsia" w:ascii="仿宋_GB2312" w:hAnsi="仿宋_GB2312" w:cs="仿宋_GB2312"/>
                <w:sz w:val="30"/>
                <w:highlight w:val="none"/>
              </w:rPr>
              <w:t xml:space="preserve">    </w:t>
            </w: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ind w:firstLine="750" w:firstLineChars="250"/>
              <w:rPr>
                <w:rFonts w:ascii="仿宋_GB2312" w:hAnsi="仿宋_GB2312" w:cs="仿宋_GB2312"/>
                <w:sz w:val="30"/>
                <w:highlight w:val="none"/>
              </w:rPr>
            </w:pPr>
          </w:p>
          <w:p>
            <w:pPr>
              <w:autoSpaceDE w:val="0"/>
              <w:autoSpaceDN w:val="0"/>
              <w:spacing w:line="440" w:lineRule="exact"/>
              <w:rPr>
                <w:rFonts w:ascii="仿宋_GB2312" w:hAnsi="仿宋_GB2312" w:cs="仿宋_GB2312"/>
                <w:sz w:val="30"/>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四、经费预算</w:t>
      </w:r>
    </w:p>
    <w:p>
      <w:pPr>
        <w:pStyle w:val="2"/>
        <w:ind w:right="-1044" w:rightChars="-497" w:firstLine="7233" w:firstLineChars="2411"/>
        <w:rPr>
          <w:rFonts w:ascii="仿宋" w:hAnsi="仿宋" w:eastAsia="仿宋"/>
          <w:sz w:val="30"/>
          <w:szCs w:val="30"/>
          <w:highlight w:val="none"/>
        </w:rPr>
      </w:pPr>
      <w:r>
        <w:rPr>
          <w:rFonts w:hint="eastAsia" w:ascii="仿宋" w:hAnsi="仿宋" w:eastAsia="仿宋"/>
          <w:sz w:val="30"/>
          <w:szCs w:val="30"/>
          <w:highlight w:val="none"/>
        </w:rPr>
        <w:t>单位：万元</w:t>
      </w:r>
    </w:p>
    <w:tbl>
      <w:tblPr>
        <w:tblStyle w:val="12"/>
        <w:tblpPr w:leftFromText="180" w:rightFromText="180" w:vertAnchor="text" w:horzAnchor="page" w:tblpX="1353" w:tblpY="31"/>
        <w:tblOverlap w:val="never"/>
        <w:tblW w:w="920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02"/>
        <w:gridCol w:w="2409"/>
        <w:gridCol w:w="241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85"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序号</w:t>
            </w:r>
          </w:p>
        </w:tc>
        <w:tc>
          <w:tcPr>
            <w:tcW w:w="3402"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服务内容</w:t>
            </w:r>
          </w:p>
        </w:tc>
        <w:tc>
          <w:tcPr>
            <w:tcW w:w="2409"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预算报价</w:t>
            </w:r>
          </w:p>
        </w:tc>
        <w:tc>
          <w:tcPr>
            <w:tcW w:w="2410" w:type="dxa"/>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85"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highlight w:val="none"/>
              </w:rPr>
            </w:pPr>
          </w:p>
        </w:tc>
        <w:tc>
          <w:tcPr>
            <w:tcW w:w="2410"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387" w:type="dxa"/>
            <w:gridSpan w:val="2"/>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合计（单位：万元）</w:t>
            </w:r>
          </w:p>
        </w:tc>
        <w:tc>
          <w:tcPr>
            <w:tcW w:w="4819"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highlight w:val="none"/>
              </w:rPr>
            </w:pPr>
          </w:p>
        </w:tc>
      </w:tr>
    </w:tbl>
    <w:p>
      <w:pPr>
        <w:spacing w:before="156" w:beforeLines="50"/>
        <w:rPr>
          <w:rFonts w:ascii="黑体" w:eastAsia="黑体" w:cs="黑体"/>
          <w:sz w:val="32"/>
          <w:szCs w:val="32"/>
          <w:highlight w:val="none"/>
        </w:rPr>
      </w:pPr>
      <w:r>
        <w:rPr>
          <w:rFonts w:hint="eastAsia" w:ascii="黑体" w:eastAsia="黑体" w:cs="黑体"/>
          <w:sz w:val="32"/>
          <w:szCs w:val="32"/>
          <w:highlight w:val="none"/>
        </w:rPr>
        <w:t>五、申报单位承诺</w:t>
      </w:r>
    </w:p>
    <w:tbl>
      <w:tblPr>
        <w:tblStyle w:val="12"/>
        <w:tblW w:w="0" w:type="auto"/>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094" w:hRule="atLeast"/>
        </w:trPr>
        <w:tc>
          <w:tcPr>
            <w:tcW w:w="9286" w:type="dxa"/>
            <w:tcBorders>
              <w:top w:val="single" w:color="auto" w:sz="6" w:space="0"/>
              <w:left w:val="single" w:color="auto" w:sz="6" w:space="0"/>
              <w:bottom w:val="single" w:color="auto" w:sz="6" w:space="0"/>
              <w:right w:val="single" w:color="auto" w:sz="6" w:space="0"/>
            </w:tcBorders>
          </w:tcPr>
          <w:p>
            <w:pPr>
              <w:rPr>
                <w:sz w:val="30"/>
                <w:szCs w:val="30"/>
                <w:highlight w:val="none"/>
              </w:rPr>
            </w:pPr>
          </w:p>
          <w:p>
            <w:pPr>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我们确认项目申报内容的真实性，并愿意承担相应的责任。</w:t>
            </w:r>
          </w:p>
          <w:p>
            <w:pPr>
              <w:rPr>
                <w:rFonts w:ascii="仿宋_GB2312" w:hAnsi="仿宋_GB2312" w:eastAsia="仿宋_GB2312" w:cs="仿宋_GB2312"/>
                <w:sz w:val="30"/>
                <w:szCs w:val="30"/>
                <w:highlight w:val="none"/>
              </w:rPr>
            </w:pPr>
          </w:p>
          <w:p>
            <w:pPr>
              <w:ind w:firstLine="150" w:firstLineChars="5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负责人签字：                            </w:t>
            </w:r>
          </w:p>
          <w:p>
            <w:pPr>
              <w:ind w:firstLine="150" w:firstLineChars="50"/>
              <w:rPr>
                <w:rFonts w:ascii="仿宋_GB2312" w:hAnsi="仿宋_GB2312" w:eastAsia="仿宋_GB2312" w:cs="仿宋_GB2312"/>
                <w:sz w:val="30"/>
                <w:szCs w:val="30"/>
                <w:highlight w:val="none"/>
              </w:rPr>
            </w:pPr>
          </w:p>
          <w:p>
            <w:pPr>
              <w:ind w:firstLine="6000" w:firstLineChars="20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申报单位公章</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w:t>
            </w:r>
            <w:r>
              <w:rPr>
                <w:rFonts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rPr>
              <w:t>年   月   日</w:t>
            </w:r>
          </w:p>
          <w:p>
            <w:pPr>
              <w:rPr>
                <w:sz w:val="30"/>
                <w:szCs w:val="30"/>
                <w:highlight w:val="none"/>
              </w:rPr>
            </w:pPr>
          </w:p>
        </w:tc>
      </w:tr>
    </w:tbl>
    <w:p>
      <w:pPr>
        <w:pStyle w:val="2"/>
        <w:ind w:left="0" w:leftChars="0" w:firstLine="0" w:firstLineChars="0"/>
        <w:rPr>
          <w:sz w:val="32"/>
          <w:szCs w:val="32"/>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p>
    <w:p>
      <w:pPr>
        <w:widowControl/>
        <w:shd w:val="clear" w:color="auto" w:fill="FFFFFF"/>
        <w:spacing w:line="640" w:lineRule="atLeast"/>
        <w:jc w:val="center"/>
        <w:rPr>
          <w:rFonts w:ascii="方正小标宋简体" w:hAnsi="微软雅黑" w:eastAsia="方正小标宋简体" w:cs="宋体"/>
          <w:bCs/>
          <w:kern w:val="0"/>
          <w:sz w:val="44"/>
          <w:szCs w:val="44"/>
          <w:highlight w:val="none"/>
        </w:rPr>
      </w:pPr>
      <w:r>
        <w:rPr>
          <w:rFonts w:hint="eastAsia" w:ascii="方正小标宋简体" w:hAnsi="微软雅黑" w:eastAsia="方正小标宋简体" w:cs="宋体"/>
          <w:bCs/>
          <w:kern w:val="0"/>
          <w:sz w:val="44"/>
          <w:szCs w:val="44"/>
          <w:highlight w:val="none"/>
        </w:rPr>
        <w:t>资料清单及要求</w:t>
      </w:r>
    </w:p>
    <w:p>
      <w:pPr>
        <w:widowControl/>
        <w:shd w:val="clear" w:color="auto" w:fill="FFFFFF"/>
        <w:snapToGrid w:val="0"/>
        <w:jc w:val="center"/>
        <w:rPr>
          <w:rFonts w:ascii="方正小标宋简体" w:hAnsi="微软雅黑" w:eastAsia="方正小标宋简体" w:cs="宋体"/>
          <w:kern w:val="0"/>
          <w:sz w:val="10"/>
          <w:szCs w:val="16"/>
          <w:highlight w:val="none"/>
        </w:rPr>
      </w:pPr>
      <w:r>
        <w:rPr>
          <w:rFonts w:hint="eastAsia" w:ascii="方正小标宋简体" w:hAnsi="微软雅黑" w:eastAsia="方正小标宋简体" w:cs="宋体"/>
          <w:bCs/>
          <w:kern w:val="0"/>
          <w:sz w:val="28"/>
          <w:szCs w:val="44"/>
          <w:highlight w:val="none"/>
        </w:rPr>
        <w:t>（所有</w:t>
      </w:r>
      <w:r>
        <w:rPr>
          <w:rFonts w:ascii="方正小标宋简体" w:hAnsi="微软雅黑" w:eastAsia="方正小标宋简体" w:cs="宋体"/>
          <w:bCs/>
          <w:kern w:val="0"/>
          <w:sz w:val="28"/>
          <w:szCs w:val="44"/>
          <w:highlight w:val="none"/>
        </w:rPr>
        <w:t>资料均</w:t>
      </w:r>
      <w:r>
        <w:rPr>
          <w:rFonts w:hint="eastAsia" w:ascii="方正小标宋简体" w:hAnsi="微软雅黑" w:eastAsia="方正小标宋简体" w:cs="宋体"/>
          <w:bCs/>
          <w:kern w:val="0"/>
          <w:sz w:val="28"/>
          <w:szCs w:val="44"/>
          <w:highlight w:val="none"/>
        </w:rPr>
        <w:t>须</w:t>
      </w:r>
      <w:r>
        <w:rPr>
          <w:rFonts w:ascii="方正小标宋简体" w:hAnsi="微软雅黑" w:eastAsia="方正小标宋简体" w:cs="宋体"/>
          <w:bCs/>
          <w:kern w:val="0"/>
          <w:sz w:val="28"/>
          <w:szCs w:val="44"/>
          <w:highlight w:val="none"/>
        </w:rPr>
        <w:t>加盖</w:t>
      </w:r>
      <w:r>
        <w:rPr>
          <w:rFonts w:hint="eastAsia" w:ascii="方正小标宋简体" w:hAnsi="微软雅黑" w:eastAsia="方正小标宋简体" w:cs="宋体"/>
          <w:bCs/>
          <w:kern w:val="0"/>
          <w:sz w:val="28"/>
          <w:szCs w:val="44"/>
          <w:highlight w:val="none"/>
        </w:rPr>
        <w:t>公章）</w:t>
      </w:r>
    </w:p>
    <w:p>
      <w:pPr>
        <w:widowControl/>
        <w:shd w:val="clear" w:color="auto" w:fill="FFFFFF"/>
        <w:spacing w:line="640" w:lineRule="atLeast"/>
        <w:jc w:val="left"/>
        <w:rPr>
          <w:rFonts w:ascii="微软雅黑" w:hAnsi="微软雅黑" w:eastAsia="微软雅黑" w:cs="宋体"/>
          <w:kern w:val="0"/>
          <w:sz w:val="32"/>
          <w:szCs w:val="32"/>
          <w:highlight w:val="none"/>
        </w:rPr>
      </w:pP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一、资料清单</w:t>
      </w:r>
      <w:r>
        <w:rPr>
          <w:rFonts w:hint="eastAsia" w:ascii="微软雅黑" w:hAnsi="微软雅黑" w:eastAsia="黑体" w:cs="宋体"/>
          <w:kern w:val="0"/>
          <w:sz w:val="32"/>
          <w:szCs w:val="32"/>
          <w:highlight w:val="none"/>
        </w:rPr>
        <w:t>     </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（一）封面（标明参选项目名称、参选人全称，由参选人加盖公章，并由法定代表人（或委托人）签字或盖章）</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（二）目录</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（三）承诺书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承诺愿意承担会计核算中心</w:t>
      </w:r>
      <w:r>
        <w:rPr>
          <w:rFonts w:hint="eastAsia" w:ascii="仿宋_GB2312" w:hAnsi="仿宋" w:eastAsia="仿宋_GB2312"/>
          <w:sz w:val="32"/>
          <w:szCs w:val="32"/>
          <w:highlight w:val="none"/>
        </w:rPr>
        <w:t>“行业财经数据精细化监管</w:t>
      </w:r>
      <w:r>
        <w:rPr>
          <w:rFonts w:ascii="仿宋_GB2312" w:hAnsi="仿宋" w:eastAsia="仿宋_GB2312"/>
          <w:sz w:val="32"/>
          <w:szCs w:val="32"/>
          <w:highlight w:val="none"/>
        </w:rPr>
        <w:t>-等保测评</w:t>
      </w:r>
      <w:r>
        <w:rPr>
          <w:rFonts w:hint="eastAsia" w:ascii="仿宋_GB2312" w:hAnsi="仿宋" w:eastAsia="仿宋_GB2312"/>
          <w:sz w:val="32"/>
          <w:szCs w:val="32"/>
          <w:highlight w:val="none"/>
        </w:rPr>
        <w:t>”</w:t>
      </w:r>
      <w:r>
        <w:rPr>
          <w:rFonts w:hint="eastAsia" w:ascii="仿宋_GB2312" w:hAnsi="微软雅黑" w:eastAsia="仿宋_GB2312" w:cs="宋体"/>
          <w:kern w:val="0"/>
          <w:sz w:val="32"/>
          <w:szCs w:val="32"/>
          <w:highlight w:val="none"/>
        </w:rPr>
        <w:t>项目，遵守遴选工作要求，认同遴选条件、程序和结果；未</w:t>
      </w:r>
      <w:r>
        <w:rPr>
          <w:rFonts w:hint="eastAsia" w:ascii="仿宋_GB2312" w:hAnsi="微软雅黑" w:eastAsia="仿宋_GB2312"/>
          <w:sz w:val="32"/>
          <w:szCs w:val="32"/>
          <w:highlight w:val="none"/>
        </w:rPr>
        <w:t>被“信用中国”网站（www.creditchina.gov.cn）列入失信被执行人和重大税收违法案件当事人名单、未被“中国政府采购网”网站（www.ccgp.gov.cn）列入政府采购严重违法失信行为记录名单（处罚期限尚未届满的）；</w:t>
      </w:r>
      <w:r>
        <w:rPr>
          <w:rFonts w:hint="eastAsia" w:ascii="仿宋_GB2312" w:hAnsi="微软雅黑" w:eastAsia="仿宋_GB2312" w:cs="宋体"/>
          <w:kern w:val="0"/>
          <w:sz w:val="32"/>
          <w:szCs w:val="32"/>
          <w:highlight w:val="none"/>
        </w:rPr>
        <w:t>近三年未有任何违法行为，本单位及其工作人员未受到任何因工作原因而导致的法律制裁；履行保密义务；所提供资料完全属实，如有弄虚作假，本公司赔偿一切由此引起的损失。</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（四）法定代表人身份证明书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（五）法定代表人授权委托书</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（六）项目承办申请书（附件1）</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（七）相关证明材料</w:t>
      </w:r>
    </w:p>
    <w:p>
      <w:pPr>
        <w:pStyle w:val="10"/>
        <w:spacing w:before="0" w:beforeAutospacing="0" w:after="0" w:afterAutospacing="0"/>
        <w:ind w:firstLine="640" w:firstLineChars="200"/>
        <w:jc w:val="both"/>
        <w:textAlignment w:val="baseline"/>
        <w:rPr>
          <w:rFonts w:ascii="仿宋_GB2312" w:hAnsi="微软雅黑" w:eastAsia="仿宋_GB2312"/>
          <w:sz w:val="32"/>
          <w:szCs w:val="32"/>
          <w:highlight w:val="none"/>
        </w:rPr>
      </w:pPr>
      <w:r>
        <w:rPr>
          <w:rFonts w:hint="eastAsia" w:ascii="仿宋_GB2312" w:hAnsi="微软雅黑" w:eastAsia="仿宋_GB2312"/>
          <w:sz w:val="32"/>
          <w:szCs w:val="32"/>
          <w:highlight w:val="none"/>
        </w:rPr>
        <w:t>1.有效营业执照、安全服务资质以及其他资质证明材料复印件；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2.缴纳社会保障资金的证明材料，应提供遴选前三个月内任意一个月的缴纳社会保险的凭据（专用收据或社会保险缴纳清单）复印件；</w:t>
      </w:r>
    </w:p>
    <w:p>
      <w:pPr>
        <w:widowControl/>
        <w:shd w:val="clear" w:color="auto" w:fill="FFFFFF"/>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3.近三年工作业绩及合同（关键页）复印件等</w:t>
      </w:r>
      <w:r>
        <w:rPr>
          <w:rFonts w:hint="eastAsia" w:ascii="仿宋_GB2312" w:hAnsi="微软雅黑" w:eastAsia="仿宋_GB2312" w:cs="宋体"/>
          <w:kern w:val="0"/>
          <w:sz w:val="32"/>
          <w:szCs w:val="32"/>
          <w:highlight w:val="none"/>
        </w:rPr>
        <w:t>。</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（八）服务团队人员保障、职责分工情况</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（九）评分标准中涉及的支持性佐证文件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（十）参选人认为需要提供的其他资料</w:t>
      </w: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二、资料份数和签署</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1.参选人应准备1套正本、2套</w:t>
      </w:r>
      <w:r>
        <w:rPr>
          <w:rFonts w:ascii="仿宋_GB2312" w:hAnsi="微软雅黑" w:eastAsia="仿宋_GB2312" w:cs="宋体"/>
          <w:kern w:val="0"/>
          <w:sz w:val="32"/>
          <w:szCs w:val="32"/>
          <w:highlight w:val="none"/>
        </w:rPr>
        <w:t>副本</w:t>
      </w:r>
      <w:r>
        <w:rPr>
          <w:rFonts w:hint="eastAsia" w:ascii="仿宋_GB2312" w:hAnsi="微软雅黑" w:eastAsia="仿宋_GB2312" w:cs="宋体"/>
          <w:kern w:val="0"/>
          <w:sz w:val="32"/>
          <w:szCs w:val="32"/>
          <w:highlight w:val="none"/>
        </w:rPr>
        <w:t>纸质版及相应的PDF电子版遴选文件。</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2.纸质版与电子版遴选文件，字迹应清晰，便于辨认，内容一致。</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3.全套参选资料应无涂改。</w:t>
      </w:r>
    </w:p>
    <w:p>
      <w:pPr>
        <w:widowControl/>
        <w:shd w:val="clear" w:color="auto" w:fill="FFFFFF"/>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三、资料装订</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1.参选资料须胶装，不能使用活页装订，并在封面标明“正本”或“副本”。</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2.纸质版资料及存储电子版本的介质（光盘）应封装在密封袋中，并在密封袋封口处加贴密封条加盖公章。</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3.密封袋外层应标（注）明参选人名称，并加盖公章。</w:t>
      </w:r>
    </w:p>
    <w:p>
      <w:pPr>
        <w:widowControl/>
        <w:shd w:val="clear" w:color="auto" w:fill="FFFFFF"/>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4.如未在规定时间和地点递交遴选资料，则视为放弃。</w:t>
      </w:r>
    </w:p>
    <w:p>
      <w:pPr>
        <w:pStyle w:val="2"/>
        <w:ind w:left="0" w:leftChars="0" w:firstLine="0" w:firstLineChars="0"/>
        <w:rPr>
          <w:sz w:val="32"/>
          <w:szCs w:val="32"/>
          <w:highlight w:val="none"/>
        </w:rPr>
      </w:pPr>
    </w:p>
    <w:p>
      <w:pPr>
        <w:rPr>
          <w:highlight w:val="none"/>
        </w:rPr>
      </w:pPr>
    </w:p>
    <w:p>
      <w:pPr>
        <w:pStyle w:val="2"/>
        <w:ind w:left="0" w:leftChars="0" w:firstLine="0" w:firstLineChars="0"/>
        <w:rPr>
          <w:rStyle w:val="15"/>
          <w:highlight w:val="none"/>
        </w:rPr>
      </w:pPr>
    </w:p>
    <w:sectPr>
      <w:footerReference r:id="rId3" w:type="default"/>
      <w:pgSz w:w="11906" w:h="16838"/>
      <w:pgMar w:top="1440" w:right="1304" w:bottom="1247" w:left="1304" w:header="102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仿宋_GB2312">
    <w:altName w:val="方正仿宋_GBK"/>
    <w:panose1 w:val="02000000000000000000"/>
    <w:charset w:val="86"/>
    <w:family w:val="auto"/>
    <w:pitch w:val="default"/>
    <w:sig w:usb0="00000000" w:usb1="00000000" w:usb2="00000012" w:usb3="00000000" w:csb0="00040001" w:csb1="00000000"/>
  </w:font>
  <w:font w:name="Dotum">
    <w:altName w:val="方正书宋_GBK"/>
    <w:panose1 w:val="020B0600000101010101"/>
    <w:charset w:val="81"/>
    <w:family w:val="modern"/>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579030"/>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C645A"/>
    <w:multiLevelType w:val="multilevel"/>
    <w:tmpl w:val="404C645A"/>
    <w:lvl w:ilvl="0" w:tentative="0">
      <w:start w:val="1"/>
      <w:numFmt w:val="bullet"/>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
    <w:nsid w:val="542020DD"/>
    <w:multiLevelType w:val="singleLevel"/>
    <w:tmpl w:val="542020DD"/>
    <w:lvl w:ilvl="0" w:tentative="0">
      <w:start w:val="1"/>
      <w:numFmt w:val="decimal"/>
      <w:lvlText w:val="%1."/>
      <w:lvlJc w:val="left"/>
      <w:pPr>
        <w:ind w:left="4679" w:hanging="425"/>
      </w:pPr>
      <w:rPr>
        <w:rFonts w:hint="default"/>
      </w:rPr>
    </w:lvl>
  </w:abstractNum>
  <w:abstractNum w:abstractNumId="2">
    <w:nsid w:val="5B1A6195"/>
    <w:multiLevelType w:val="singleLevel"/>
    <w:tmpl w:val="5B1A619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ODQ3NzAzNmI1MzkwMzYwZTRkNTY3OWM1MTk0ZmIifQ=="/>
  </w:docVars>
  <w:rsids>
    <w:rsidRoot w:val="00833150"/>
    <w:rsid w:val="00004B4F"/>
    <w:rsid w:val="000179DC"/>
    <w:rsid w:val="00017DFF"/>
    <w:rsid w:val="000346EF"/>
    <w:rsid w:val="000370C8"/>
    <w:rsid w:val="000371EA"/>
    <w:rsid w:val="00042C9A"/>
    <w:rsid w:val="00043579"/>
    <w:rsid w:val="000519E0"/>
    <w:rsid w:val="00065C80"/>
    <w:rsid w:val="00067E44"/>
    <w:rsid w:val="00070BB7"/>
    <w:rsid w:val="00071146"/>
    <w:rsid w:val="00081779"/>
    <w:rsid w:val="00081959"/>
    <w:rsid w:val="00082951"/>
    <w:rsid w:val="00084263"/>
    <w:rsid w:val="00097AF9"/>
    <w:rsid w:val="000A694E"/>
    <w:rsid w:val="000A7009"/>
    <w:rsid w:val="000B5F17"/>
    <w:rsid w:val="000B6D83"/>
    <w:rsid w:val="000B797D"/>
    <w:rsid w:val="000D4603"/>
    <w:rsid w:val="000D78B0"/>
    <w:rsid w:val="000F4AE7"/>
    <w:rsid w:val="001023AF"/>
    <w:rsid w:val="00103E60"/>
    <w:rsid w:val="00112810"/>
    <w:rsid w:val="00114E53"/>
    <w:rsid w:val="00115238"/>
    <w:rsid w:val="00117C02"/>
    <w:rsid w:val="00120D36"/>
    <w:rsid w:val="00123975"/>
    <w:rsid w:val="001248AB"/>
    <w:rsid w:val="001306FE"/>
    <w:rsid w:val="00131540"/>
    <w:rsid w:val="00134E4D"/>
    <w:rsid w:val="0013782C"/>
    <w:rsid w:val="00141C87"/>
    <w:rsid w:val="00141D57"/>
    <w:rsid w:val="0015719E"/>
    <w:rsid w:val="00161398"/>
    <w:rsid w:val="00165F20"/>
    <w:rsid w:val="001669BB"/>
    <w:rsid w:val="00167183"/>
    <w:rsid w:val="0016759E"/>
    <w:rsid w:val="00175578"/>
    <w:rsid w:val="00183B3C"/>
    <w:rsid w:val="001865F8"/>
    <w:rsid w:val="0019642C"/>
    <w:rsid w:val="00196B36"/>
    <w:rsid w:val="00197CAA"/>
    <w:rsid w:val="001A578C"/>
    <w:rsid w:val="001E0EB2"/>
    <w:rsid w:val="001E6749"/>
    <w:rsid w:val="001F2443"/>
    <w:rsid w:val="001F2B30"/>
    <w:rsid w:val="00200223"/>
    <w:rsid w:val="002020B9"/>
    <w:rsid w:val="00202E25"/>
    <w:rsid w:val="0021497B"/>
    <w:rsid w:val="0021632D"/>
    <w:rsid w:val="00217DB6"/>
    <w:rsid w:val="00234CB4"/>
    <w:rsid w:val="002360DC"/>
    <w:rsid w:val="002466C6"/>
    <w:rsid w:val="00247095"/>
    <w:rsid w:val="00252A87"/>
    <w:rsid w:val="00255678"/>
    <w:rsid w:val="00255A6B"/>
    <w:rsid w:val="00264598"/>
    <w:rsid w:val="00267968"/>
    <w:rsid w:val="00267CC0"/>
    <w:rsid w:val="00275E02"/>
    <w:rsid w:val="00277AE4"/>
    <w:rsid w:val="00280BDA"/>
    <w:rsid w:val="0028186A"/>
    <w:rsid w:val="00287116"/>
    <w:rsid w:val="00291193"/>
    <w:rsid w:val="0029240C"/>
    <w:rsid w:val="00294669"/>
    <w:rsid w:val="002955A5"/>
    <w:rsid w:val="0029688F"/>
    <w:rsid w:val="002A2819"/>
    <w:rsid w:val="002B32F0"/>
    <w:rsid w:val="002B50DE"/>
    <w:rsid w:val="002C082C"/>
    <w:rsid w:val="002C3106"/>
    <w:rsid w:val="002D56F0"/>
    <w:rsid w:val="002E25BC"/>
    <w:rsid w:val="002F1E64"/>
    <w:rsid w:val="002F6A26"/>
    <w:rsid w:val="00305491"/>
    <w:rsid w:val="00306389"/>
    <w:rsid w:val="00315C98"/>
    <w:rsid w:val="003221E5"/>
    <w:rsid w:val="00327E93"/>
    <w:rsid w:val="00340FEA"/>
    <w:rsid w:val="00341225"/>
    <w:rsid w:val="003468B9"/>
    <w:rsid w:val="00356508"/>
    <w:rsid w:val="00364B46"/>
    <w:rsid w:val="00375332"/>
    <w:rsid w:val="00376478"/>
    <w:rsid w:val="00377EBE"/>
    <w:rsid w:val="00381716"/>
    <w:rsid w:val="003909BB"/>
    <w:rsid w:val="00393761"/>
    <w:rsid w:val="00393A14"/>
    <w:rsid w:val="003B1223"/>
    <w:rsid w:val="003B1BD1"/>
    <w:rsid w:val="003B2137"/>
    <w:rsid w:val="003B310C"/>
    <w:rsid w:val="003C0DA3"/>
    <w:rsid w:val="003C6490"/>
    <w:rsid w:val="003D34C0"/>
    <w:rsid w:val="003D3CC6"/>
    <w:rsid w:val="003D71C7"/>
    <w:rsid w:val="003E0B0C"/>
    <w:rsid w:val="003F375A"/>
    <w:rsid w:val="003F6E04"/>
    <w:rsid w:val="004002C4"/>
    <w:rsid w:val="00401CB7"/>
    <w:rsid w:val="00410167"/>
    <w:rsid w:val="00414D09"/>
    <w:rsid w:val="0042150B"/>
    <w:rsid w:val="00421806"/>
    <w:rsid w:val="00430152"/>
    <w:rsid w:val="004323ED"/>
    <w:rsid w:val="00432712"/>
    <w:rsid w:val="00440B06"/>
    <w:rsid w:val="00445F50"/>
    <w:rsid w:val="00456AC2"/>
    <w:rsid w:val="00467F5D"/>
    <w:rsid w:val="0047149B"/>
    <w:rsid w:val="004A263F"/>
    <w:rsid w:val="004A3343"/>
    <w:rsid w:val="004A5733"/>
    <w:rsid w:val="004A72D8"/>
    <w:rsid w:val="004A7975"/>
    <w:rsid w:val="004B442D"/>
    <w:rsid w:val="004C2B44"/>
    <w:rsid w:val="004C3AC0"/>
    <w:rsid w:val="004C51D2"/>
    <w:rsid w:val="004C53F5"/>
    <w:rsid w:val="004D6023"/>
    <w:rsid w:val="004E1080"/>
    <w:rsid w:val="004E225E"/>
    <w:rsid w:val="004E3896"/>
    <w:rsid w:val="004E7A4F"/>
    <w:rsid w:val="004F4544"/>
    <w:rsid w:val="004F5038"/>
    <w:rsid w:val="004F7646"/>
    <w:rsid w:val="004F781C"/>
    <w:rsid w:val="0050267D"/>
    <w:rsid w:val="0052020B"/>
    <w:rsid w:val="00520B09"/>
    <w:rsid w:val="005245B4"/>
    <w:rsid w:val="00544581"/>
    <w:rsid w:val="005516E9"/>
    <w:rsid w:val="00551831"/>
    <w:rsid w:val="005562CB"/>
    <w:rsid w:val="0055775C"/>
    <w:rsid w:val="00557771"/>
    <w:rsid w:val="00565666"/>
    <w:rsid w:val="00576030"/>
    <w:rsid w:val="00576064"/>
    <w:rsid w:val="00577BD8"/>
    <w:rsid w:val="00581275"/>
    <w:rsid w:val="00582D3C"/>
    <w:rsid w:val="0059723C"/>
    <w:rsid w:val="005A6E8E"/>
    <w:rsid w:val="005B1CE8"/>
    <w:rsid w:val="005B6C68"/>
    <w:rsid w:val="005C1076"/>
    <w:rsid w:val="005C7644"/>
    <w:rsid w:val="005D4C9E"/>
    <w:rsid w:val="005E1D58"/>
    <w:rsid w:val="005E51B0"/>
    <w:rsid w:val="005F48E8"/>
    <w:rsid w:val="005F58DC"/>
    <w:rsid w:val="00600A7F"/>
    <w:rsid w:val="00602872"/>
    <w:rsid w:val="006028F3"/>
    <w:rsid w:val="00611266"/>
    <w:rsid w:val="00612FCB"/>
    <w:rsid w:val="006177D3"/>
    <w:rsid w:val="00622785"/>
    <w:rsid w:val="00623025"/>
    <w:rsid w:val="00625DA1"/>
    <w:rsid w:val="00645757"/>
    <w:rsid w:val="00651785"/>
    <w:rsid w:val="00654D94"/>
    <w:rsid w:val="00657883"/>
    <w:rsid w:val="006742AD"/>
    <w:rsid w:val="00681033"/>
    <w:rsid w:val="00692AF3"/>
    <w:rsid w:val="00694A66"/>
    <w:rsid w:val="00695A38"/>
    <w:rsid w:val="00695E29"/>
    <w:rsid w:val="00697BFD"/>
    <w:rsid w:val="006A3C51"/>
    <w:rsid w:val="006B0C4C"/>
    <w:rsid w:val="006B3EF4"/>
    <w:rsid w:val="006B58B2"/>
    <w:rsid w:val="006B5A32"/>
    <w:rsid w:val="006D536A"/>
    <w:rsid w:val="006D5FC9"/>
    <w:rsid w:val="006D7EB6"/>
    <w:rsid w:val="006E2759"/>
    <w:rsid w:val="006E501E"/>
    <w:rsid w:val="006F464F"/>
    <w:rsid w:val="006F71FE"/>
    <w:rsid w:val="0070561C"/>
    <w:rsid w:val="00706B77"/>
    <w:rsid w:val="007131D8"/>
    <w:rsid w:val="00713A96"/>
    <w:rsid w:val="00724F05"/>
    <w:rsid w:val="00732581"/>
    <w:rsid w:val="00737284"/>
    <w:rsid w:val="007452D6"/>
    <w:rsid w:val="00746BD8"/>
    <w:rsid w:val="00752552"/>
    <w:rsid w:val="00755314"/>
    <w:rsid w:val="00763F3B"/>
    <w:rsid w:val="00767336"/>
    <w:rsid w:val="00773BF9"/>
    <w:rsid w:val="007817B3"/>
    <w:rsid w:val="007824EA"/>
    <w:rsid w:val="0078467E"/>
    <w:rsid w:val="0078768A"/>
    <w:rsid w:val="007952CE"/>
    <w:rsid w:val="00796C3B"/>
    <w:rsid w:val="007A1350"/>
    <w:rsid w:val="007A235D"/>
    <w:rsid w:val="007A2735"/>
    <w:rsid w:val="007A2AC3"/>
    <w:rsid w:val="007A36CE"/>
    <w:rsid w:val="007A4D88"/>
    <w:rsid w:val="007B3E45"/>
    <w:rsid w:val="007C2A78"/>
    <w:rsid w:val="007C52CB"/>
    <w:rsid w:val="007D0471"/>
    <w:rsid w:val="007D12A7"/>
    <w:rsid w:val="007E74E6"/>
    <w:rsid w:val="007F5E01"/>
    <w:rsid w:val="00804794"/>
    <w:rsid w:val="0080720D"/>
    <w:rsid w:val="0081196C"/>
    <w:rsid w:val="008145BF"/>
    <w:rsid w:val="00817ABB"/>
    <w:rsid w:val="00824FA7"/>
    <w:rsid w:val="008253E1"/>
    <w:rsid w:val="00827EE3"/>
    <w:rsid w:val="0083261F"/>
    <w:rsid w:val="00833150"/>
    <w:rsid w:val="0085104D"/>
    <w:rsid w:val="0086732D"/>
    <w:rsid w:val="0087376D"/>
    <w:rsid w:val="0087457A"/>
    <w:rsid w:val="00880BF0"/>
    <w:rsid w:val="00884DB3"/>
    <w:rsid w:val="00885FAC"/>
    <w:rsid w:val="00895BB3"/>
    <w:rsid w:val="008972A4"/>
    <w:rsid w:val="008A073B"/>
    <w:rsid w:val="008A1903"/>
    <w:rsid w:val="008A38C7"/>
    <w:rsid w:val="008B0D39"/>
    <w:rsid w:val="008B68A1"/>
    <w:rsid w:val="008B7F50"/>
    <w:rsid w:val="008C0184"/>
    <w:rsid w:val="008C3CE4"/>
    <w:rsid w:val="008D3F68"/>
    <w:rsid w:val="008D48F1"/>
    <w:rsid w:val="008D6153"/>
    <w:rsid w:val="008D6651"/>
    <w:rsid w:val="008E3DFE"/>
    <w:rsid w:val="008E4DC5"/>
    <w:rsid w:val="008E4E6D"/>
    <w:rsid w:val="008E6517"/>
    <w:rsid w:val="008F0310"/>
    <w:rsid w:val="00901B61"/>
    <w:rsid w:val="009023E1"/>
    <w:rsid w:val="00903196"/>
    <w:rsid w:val="00906BA3"/>
    <w:rsid w:val="00913A82"/>
    <w:rsid w:val="00913AA2"/>
    <w:rsid w:val="009308AF"/>
    <w:rsid w:val="00943D7D"/>
    <w:rsid w:val="00944A93"/>
    <w:rsid w:val="009469D9"/>
    <w:rsid w:val="00947D75"/>
    <w:rsid w:val="00952F3C"/>
    <w:rsid w:val="00960410"/>
    <w:rsid w:val="009647D5"/>
    <w:rsid w:val="00970DE0"/>
    <w:rsid w:val="00981705"/>
    <w:rsid w:val="009863E7"/>
    <w:rsid w:val="0098709D"/>
    <w:rsid w:val="00993709"/>
    <w:rsid w:val="009946B7"/>
    <w:rsid w:val="0099567E"/>
    <w:rsid w:val="009A54BB"/>
    <w:rsid w:val="009A5A83"/>
    <w:rsid w:val="009B1D2B"/>
    <w:rsid w:val="009B2656"/>
    <w:rsid w:val="009B2840"/>
    <w:rsid w:val="009B45E9"/>
    <w:rsid w:val="009B5813"/>
    <w:rsid w:val="009B621A"/>
    <w:rsid w:val="009B798F"/>
    <w:rsid w:val="009C0693"/>
    <w:rsid w:val="009C0A64"/>
    <w:rsid w:val="009F5ACA"/>
    <w:rsid w:val="00A00C7A"/>
    <w:rsid w:val="00A0643D"/>
    <w:rsid w:val="00A06F2A"/>
    <w:rsid w:val="00A1148F"/>
    <w:rsid w:val="00A231FB"/>
    <w:rsid w:val="00A2398C"/>
    <w:rsid w:val="00A26B0C"/>
    <w:rsid w:val="00A36EB6"/>
    <w:rsid w:val="00A46F82"/>
    <w:rsid w:val="00A50F54"/>
    <w:rsid w:val="00A6704B"/>
    <w:rsid w:val="00A71704"/>
    <w:rsid w:val="00A76E01"/>
    <w:rsid w:val="00A77CC6"/>
    <w:rsid w:val="00A80EB9"/>
    <w:rsid w:val="00A907EE"/>
    <w:rsid w:val="00A97FC2"/>
    <w:rsid w:val="00AA04A5"/>
    <w:rsid w:val="00AC4D7B"/>
    <w:rsid w:val="00AC5C97"/>
    <w:rsid w:val="00AC7398"/>
    <w:rsid w:val="00AD246C"/>
    <w:rsid w:val="00AD4131"/>
    <w:rsid w:val="00AE1560"/>
    <w:rsid w:val="00AE20B6"/>
    <w:rsid w:val="00AE3F33"/>
    <w:rsid w:val="00B0649D"/>
    <w:rsid w:val="00B11B80"/>
    <w:rsid w:val="00B14923"/>
    <w:rsid w:val="00B15D3E"/>
    <w:rsid w:val="00B1644D"/>
    <w:rsid w:val="00B168D4"/>
    <w:rsid w:val="00B16BE3"/>
    <w:rsid w:val="00B2557C"/>
    <w:rsid w:val="00B26EDB"/>
    <w:rsid w:val="00B27E75"/>
    <w:rsid w:val="00B407F4"/>
    <w:rsid w:val="00B4470E"/>
    <w:rsid w:val="00B46B43"/>
    <w:rsid w:val="00B6465D"/>
    <w:rsid w:val="00B6760A"/>
    <w:rsid w:val="00B717C7"/>
    <w:rsid w:val="00B7606C"/>
    <w:rsid w:val="00B90CA0"/>
    <w:rsid w:val="00B94DE7"/>
    <w:rsid w:val="00B96A2B"/>
    <w:rsid w:val="00BA3703"/>
    <w:rsid w:val="00BB5539"/>
    <w:rsid w:val="00BB6905"/>
    <w:rsid w:val="00BC3712"/>
    <w:rsid w:val="00BD602C"/>
    <w:rsid w:val="00BD64C8"/>
    <w:rsid w:val="00BE4FE6"/>
    <w:rsid w:val="00BE61EB"/>
    <w:rsid w:val="00BE6B72"/>
    <w:rsid w:val="00BF59EF"/>
    <w:rsid w:val="00BF601A"/>
    <w:rsid w:val="00C00675"/>
    <w:rsid w:val="00C21B46"/>
    <w:rsid w:val="00C5605A"/>
    <w:rsid w:val="00C56DEE"/>
    <w:rsid w:val="00C612E1"/>
    <w:rsid w:val="00C623C0"/>
    <w:rsid w:val="00C628CA"/>
    <w:rsid w:val="00C6780C"/>
    <w:rsid w:val="00C72C33"/>
    <w:rsid w:val="00C75F3B"/>
    <w:rsid w:val="00C80637"/>
    <w:rsid w:val="00C92AC9"/>
    <w:rsid w:val="00C95112"/>
    <w:rsid w:val="00C952DA"/>
    <w:rsid w:val="00CA366B"/>
    <w:rsid w:val="00CA79FF"/>
    <w:rsid w:val="00CB0350"/>
    <w:rsid w:val="00CB5DBB"/>
    <w:rsid w:val="00CC7D42"/>
    <w:rsid w:val="00CD7C05"/>
    <w:rsid w:val="00CD7DA9"/>
    <w:rsid w:val="00CE02B9"/>
    <w:rsid w:val="00CE63EF"/>
    <w:rsid w:val="00CF157F"/>
    <w:rsid w:val="00CF2BF8"/>
    <w:rsid w:val="00CF4624"/>
    <w:rsid w:val="00CF76D0"/>
    <w:rsid w:val="00D00C1B"/>
    <w:rsid w:val="00D02B84"/>
    <w:rsid w:val="00D03A09"/>
    <w:rsid w:val="00D0432D"/>
    <w:rsid w:val="00D10C9E"/>
    <w:rsid w:val="00D11618"/>
    <w:rsid w:val="00D14C5B"/>
    <w:rsid w:val="00D152E1"/>
    <w:rsid w:val="00D33594"/>
    <w:rsid w:val="00D365A1"/>
    <w:rsid w:val="00D372F1"/>
    <w:rsid w:val="00D510A9"/>
    <w:rsid w:val="00D5361B"/>
    <w:rsid w:val="00D553DB"/>
    <w:rsid w:val="00D565F4"/>
    <w:rsid w:val="00D578DF"/>
    <w:rsid w:val="00D6089A"/>
    <w:rsid w:val="00D63A18"/>
    <w:rsid w:val="00D66684"/>
    <w:rsid w:val="00D67D56"/>
    <w:rsid w:val="00D752D3"/>
    <w:rsid w:val="00D75DD6"/>
    <w:rsid w:val="00D83165"/>
    <w:rsid w:val="00D85F90"/>
    <w:rsid w:val="00D907BB"/>
    <w:rsid w:val="00D96123"/>
    <w:rsid w:val="00DB0BC7"/>
    <w:rsid w:val="00DB6C6F"/>
    <w:rsid w:val="00DB7CBE"/>
    <w:rsid w:val="00DC2756"/>
    <w:rsid w:val="00DC5B94"/>
    <w:rsid w:val="00DD49FB"/>
    <w:rsid w:val="00DD7ABA"/>
    <w:rsid w:val="00DF107E"/>
    <w:rsid w:val="00DF7D3E"/>
    <w:rsid w:val="00E13890"/>
    <w:rsid w:val="00E13CF5"/>
    <w:rsid w:val="00E162C1"/>
    <w:rsid w:val="00E270DA"/>
    <w:rsid w:val="00E3483B"/>
    <w:rsid w:val="00E37035"/>
    <w:rsid w:val="00E406F8"/>
    <w:rsid w:val="00E44577"/>
    <w:rsid w:val="00E5154F"/>
    <w:rsid w:val="00E5670F"/>
    <w:rsid w:val="00E5763F"/>
    <w:rsid w:val="00E63301"/>
    <w:rsid w:val="00E63860"/>
    <w:rsid w:val="00E70189"/>
    <w:rsid w:val="00E77D01"/>
    <w:rsid w:val="00E84071"/>
    <w:rsid w:val="00E8644B"/>
    <w:rsid w:val="00E9131A"/>
    <w:rsid w:val="00E9660E"/>
    <w:rsid w:val="00E96CBE"/>
    <w:rsid w:val="00EB0140"/>
    <w:rsid w:val="00EB30BA"/>
    <w:rsid w:val="00EB3599"/>
    <w:rsid w:val="00EB3886"/>
    <w:rsid w:val="00EC1710"/>
    <w:rsid w:val="00EC284F"/>
    <w:rsid w:val="00EC3F11"/>
    <w:rsid w:val="00ED2991"/>
    <w:rsid w:val="00ED7D4D"/>
    <w:rsid w:val="00EE3CE4"/>
    <w:rsid w:val="00EE73EB"/>
    <w:rsid w:val="00EF00AD"/>
    <w:rsid w:val="00EF3D8F"/>
    <w:rsid w:val="00EF3DF4"/>
    <w:rsid w:val="00F01F6A"/>
    <w:rsid w:val="00F025DD"/>
    <w:rsid w:val="00F11DE8"/>
    <w:rsid w:val="00F14B71"/>
    <w:rsid w:val="00F152F2"/>
    <w:rsid w:val="00F20E08"/>
    <w:rsid w:val="00F2685F"/>
    <w:rsid w:val="00F26C10"/>
    <w:rsid w:val="00F46E08"/>
    <w:rsid w:val="00F470D9"/>
    <w:rsid w:val="00F51E9A"/>
    <w:rsid w:val="00F54C49"/>
    <w:rsid w:val="00F54C71"/>
    <w:rsid w:val="00F55857"/>
    <w:rsid w:val="00F6691A"/>
    <w:rsid w:val="00F71AD4"/>
    <w:rsid w:val="00F71C9D"/>
    <w:rsid w:val="00F81129"/>
    <w:rsid w:val="00F81D7E"/>
    <w:rsid w:val="00F86399"/>
    <w:rsid w:val="00F90751"/>
    <w:rsid w:val="00FA033B"/>
    <w:rsid w:val="00FA2325"/>
    <w:rsid w:val="00FA4B6F"/>
    <w:rsid w:val="00FA63BF"/>
    <w:rsid w:val="00FA7EE2"/>
    <w:rsid w:val="00FB2413"/>
    <w:rsid w:val="00FB64CB"/>
    <w:rsid w:val="00FC6FAD"/>
    <w:rsid w:val="00FC7CBD"/>
    <w:rsid w:val="00FD4F66"/>
    <w:rsid w:val="00FE0893"/>
    <w:rsid w:val="00FE2AFA"/>
    <w:rsid w:val="00FE5ED9"/>
    <w:rsid w:val="00FE6E1C"/>
    <w:rsid w:val="00FF6EDE"/>
    <w:rsid w:val="04BA2401"/>
    <w:rsid w:val="09F539FA"/>
    <w:rsid w:val="0A5365A2"/>
    <w:rsid w:val="0ECEEF00"/>
    <w:rsid w:val="153A58C1"/>
    <w:rsid w:val="16B16687"/>
    <w:rsid w:val="19F76E07"/>
    <w:rsid w:val="1A6803C3"/>
    <w:rsid w:val="1BD6553D"/>
    <w:rsid w:val="1C183DA8"/>
    <w:rsid w:val="1C984715"/>
    <w:rsid w:val="1CF759BF"/>
    <w:rsid w:val="1FDF450F"/>
    <w:rsid w:val="219B42DE"/>
    <w:rsid w:val="23A15E53"/>
    <w:rsid w:val="25A45C5A"/>
    <w:rsid w:val="25BAE234"/>
    <w:rsid w:val="287560DE"/>
    <w:rsid w:val="28DC392D"/>
    <w:rsid w:val="2B6F60B2"/>
    <w:rsid w:val="2D97762F"/>
    <w:rsid w:val="2EBCB31C"/>
    <w:rsid w:val="2EF60AD9"/>
    <w:rsid w:val="2FB923F7"/>
    <w:rsid w:val="300551CA"/>
    <w:rsid w:val="31707E43"/>
    <w:rsid w:val="323816E9"/>
    <w:rsid w:val="36E6D0D0"/>
    <w:rsid w:val="370B0E47"/>
    <w:rsid w:val="37D552F5"/>
    <w:rsid w:val="37DDBADC"/>
    <w:rsid w:val="3ABE7CA1"/>
    <w:rsid w:val="3BFF2436"/>
    <w:rsid w:val="3EE6E0FD"/>
    <w:rsid w:val="3F3F482C"/>
    <w:rsid w:val="3F671D61"/>
    <w:rsid w:val="40CE2B42"/>
    <w:rsid w:val="43406AD0"/>
    <w:rsid w:val="449262FB"/>
    <w:rsid w:val="45575091"/>
    <w:rsid w:val="468C6AA9"/>
    <w:rsid w:val="46DF70EC"/>
    <w:rsid w:val="4BED67DE"/>
    <w:rsid w:val="4E943AC5"/>
    <w:rsid w:val="4EB94175"/>
    <w:rsid w:val="4ED6C980"/>
    <w:rsid w:val="4EDFAEEF"/>
    <w:rsid w:val="4F3D3A03"/>
    <w:rsid w:val="51033F4D"/>
    <w:rsid w:val="51765514"/>
    <w:rsid w:val="521C11F4"/>
    <w:rsid w:val="54B6D8C7"/>
    <w:rsid w:val="54CD67D6"/>
    <w:rsid w:val="55FDD12E"/>
    <w:rsid w:val="5602710E"/>
    <w:rsid w:val="56436A8A"/>
    <w:rsid w:val="57076C37"/>
    <w:rsid w:val="5765363E"/>
    <w:rsid w:val="57BF149A"/>
    <w:rsid w:val="5978EDEB"/>
    <w:rsid w:val="598F8441"/>
    <w:rsid w:val="5A0C7D17"/>
    <w:rsid w:val="5A5F120C"/>
    <w:rsid w:val="5BD60FD7"/>
    <w:rsid w:val="5D6F7DBA"/>
    <w:rsid w:val="5DB54C2E"/>
    <w:rsid w:val="5DF4FA2F"/>
    <w:rsid w:val="5DFF9C4F"/>
    <w:rsid w:val="5EAE9BF6"/>
    <w:rsid w:val="5F7AF2CA"/>
    <w:rsid w:val="5F7F6E06"/>
    <w:rsid w:val="5FF6E99E"/>
    <w:rsid w:val="5FF743F9"/>
    <w:rsid w:val="5FFBA25E"/>
    <w:rsid w:val="60603A0C"/>
    <w:rsid w:val="62470C74"/>
    <w:rsid w:val="625422E5"/>
    <w:rsid w:val="64C760F7"/>
    <w:rsid w:val="65FB7608"/>
    <w:rsid w:val="660C665C"/>
    <w:rsid w:val="662B51DF"/>
    <w:rsid w:val="6B7EC3FC"/>
    <w:rsid w:val="6CCF6AD0"/>
    <w:rsid w:val="6DD54728"/>
    <w:rsid w:val="6DFF4B74"/>
    <w:rsid w:val="6E54F137"/>
    <w:rsid w:val="6E801525"/>
    <w:rsid w:val="6EC84F2F"/>
    <w:rsid w:val="6FAD630D"/>
    <w:rsid w:val="6FF43D27"/>
    <w:rsid w:val="70C60F75"/>
    <w:rsid w:val="7185267F"/>
    <w:rsid w:val="71C6108A"/>
    <w:rsid w:val="7357C2CD"/>
    <w:rsid w:val="737B6F71"/>
    <w:rsid w:val="73F71CF9"/>
    <w:rsid w:val="758C7415"/>
    <w:rsid w:val="75FA6D2E"/>
    <w:rsid w:val="75FBF42C"/>
    <w:rsid w:val="75FFDDB4"/>
    <w:rsid w:val="762304F4"/>
    <w:rsid w:val="767EBB86"/>
    <w:rsid w:val="76D637B8"/>
    <w:rsid w:val="777B2B63"/>
    <w:rsid w:val="77B30028"/>
    <w:rsid w:val="77DFD56F"/>
    <w:rsid w:val="77E774B0"/>
    <w:rsid w:val="77FF9C32"/>
    <w:rsid w:val="77FFE69C"/>
    <w:rsid w:val="786A7038"/>
    <w:rsid w:val="78A87F5A"/>
    <w:rsid w:val="78BB9270"/>
    <w:rsid w:val="78EE4DE9"/>
    <w:rsid w:val="799415F5"/>
    <w:rsid w:val="79A75717"/>
    <w:rsid w:val="79BB633E"/>
    <w:rsid w:val="7A303125"/>
    <w:rsid w:val="7A329AD4"/>
    <w:rsid w:val="7A4943AC"/>
    <w:rsid w:val="7A9674E6"/>
    <w:rsid w:val="7AFFEE32"/>
    <w:rsid w:val="7B0C77A9"/>
    <w:rsid w:val="7B7B773E"/>
    <w:rsid w:val="7B9BB5B2"/>
    <w:rsid w:val="7BD536EE"/>
    <w:rsid w:val="7BEB3862"/>
    <w:rsid w:val="7BEFBC2F"/>
    <w:rsid w:val="7BF652F8"/>
    <w:rsid w:val="7BF9F4FE"/>
    <w:rsid w:val="7BFA852F"/>
    <w:rsid w:val="7C9F434C"/>
    <w:rsid w:val="7D117312"/>
    <w:rsid w:val="7D35539F"/>
    <w:rsid w:val="7DBF6CA0"/>
    <w:rsid w:val="7DDF804C"/>
    <w:rsid w:val="7DEFB98D"/>
    <w:rsid w:val="7DF75EDF"/>
    <w:rsid w:val="7DFFA036"/>
    <w:rsid w:val="7E7F2B3E"/>
    <w:rsid w:val="7EF3D81F"/>
    <w:rsid w:val="7EFD278D"/>
    <w:rsid w:val="7F2A3F3A"/>
    <w:rsid w:val="7F3C55EF"/>
    <w:rsid w:val="7F5A46A2"/>
    <w:rsid w:val="7F623E3B"/>
    <w:rsid w:val="7FBD9DAB"/>
    <w:rsid w:val="7FBFDE98"/>
    <w:rsid w:val="7FD71716"/>
    <w:rsid w:val="7FDA6560"/>
    <w:rsid w:val="7FDDCB6C"/>
    <w:rsid w:val="7FF5D32D"/>
    <w:rsid w:val="7FFE16BB"/>
    <w:rsid w:val="7FFF2C86"/>
    <w:rsid w:val="7FFFCDAD"/>
    <w:rsid w:val="89FF474B"/>
    <w:rsid w:val="8A67271B"/>
    <w:rsid w:val="8B7D5939"/>
    <w:rsid w:val="9BEF9FEE"/>
    <w:rsid w:val="9CFB89DE"/>
    <w:rsid w:val="9D7DA0E1"/>
    <w:rsid w:val="9E6F3AB6"/>
    <w:rsid w:val="A6EFE28B"/>
    <w:rsid w:val="A7B78619"/>
    <w:rsid w:val="A9FDFC6B"/>
    <w:rsid w:val="AF97A1A0"/>
    <w:rsid w:val="AF9E02CC"/>
    <w:rsid w:val="B27F0913"/>
    <w:rsid w:val="B4EFEFB0"/>
    <w:rsid w:val="B69D4C79"/>
    <w:rsid w:val="B6DF95DC"/>
    <w:rsid w:val="B76F2299"/>
    <w:rsid w:val="B7AB97CA"/>
    <w:rsid w:val="BBCFFD54"/>
    <w:rsid w:val="BDCA1A7B"/>
    <w:rsid w:val="BDFF63F9"/>
    <w:rsid w:val="BEBBCEDD"/>
    <w:rsid w:val="BF288F03"/>
    <w:rsid w:val="BFC921F5"/>
    <w:rsid w:val="BFEBE8B8"/>
    <w:rsid w:val="BFFF5EDC"/>
    <w:rsid w:val="C387654D"/>
    <w:rsid w:val="CBD34219"/>
    <w:rsid w:val="CC7D2286"/>
    <w:rsid w:val="CFFFA448"/>
    <w:rsid w:val="D9DB6AD5"/>
    <w:rsid w:val="DAFD9F35"/>
    <w:rsid w:val="DD8ADAE2"/>
    <w:rsid w:val="DFBDB613"/>
    <w:rsid w:val="DFFEEA97"/>
    <w:rsid w:val="E35720E7"/>
    <w:rsid w:val="E36B8D44"/>
    <w:rsid w:val="E7FD1CB7"/>
    <w:rsid w:val="E9F6C6DC"/>
    <w:rsid w:val="EAD7A853"/>
    <w:rsid w:val="EBBF6266"/>
    <w:rsid w:val="ED7BFADB"/>
    <w:rsid w:val="EF47E1CD"/>
    <w:rsid w:val="EFEFB549"/>
    <w:rsid w:val="EFF76E85"/>
    <w:rsid w:val="F19FE844"/>
    <w:rsid w:val="F3ABA484"/>
    <w:rsid w:val="F77EEF58"/>
    <w:rsid w:val="F77FDAA7"/>
    <w:rsid w:val="F7D76F18"/>
    <w:rsid w:val="F7DB073B"/>
    <w:rsid w:val="F7EB81F3"/>
    <w:rsid w:val="F7FD4807"/>
    <w:rsid w:val="F9BA964E"/>
    <w:rsid w:val="FACEA46D"/>
    <w:rsid w:val="FB7F28F9"/>
    <w:rsid w:val="FB7F9A2B"/>
    <w:rsid w:val="FB7FAF15"/>
    <w:rsid w:val="FBD1076D"/>
    <w:rsid w:val="FBEF3C7A"/>
    <w:rsid w:val="FBFFE0F9"/>
    <w:rsid w:val="FCB4AD30"/>
    <w:rsid w:val="FDEFA7A7"/>
    <w:rsid w:val="FDFB11D9"/>
    <w:rsid w:val="FE5D3191"/>
    <w:rsid w:val="FEFDE53D"/>
    <w:rsid w:val="FF6E3960"/>
    <w:rsid w:val="FF7A7C02"/>
    <w:rsid w:val="FF7F3887"/>
    <w:rsid w:val="FF9B3544"/>
    <w:rsid w:val="FF9D5876"/>
    <w:rsid w:val="FFB13D65"/>
    <w:rsid w:val="FFDC8276"/>
    <w:rsid w:val="FFE9A70D"/>
    <w:rsid w:val="FFF70DDC"/>
    <w:rsid w:val="FFFD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adjustRightInd w:val="0"/>
      <w:spacing w:before="340" w:after="330" w:line="578" w:lineRule="atLeast"/>
      <w:jc w:val="left"/>
      <w:textAlignment w:val="baseline"/>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qFormat/>
    <w:uiPriority w:val="0"/>
    <w:pPr>
      <w:ind w:firstLine="420"/>
    </w:pPr>
    <w:rPr>
      <w:rFonts w:ascii="Times New Roman" w:hAnsi="Times New Roman" w:eastAsia="宋体" w:cs="Times New Roman"/>
      <w:kern w:val="0"/>
      <w:sz w:val="20"/>
      <w:szCs w:val="20"/>
    </w:rPr>
  </w:style>
  <w:style w:type="paragraph" w:styleId="6">
    <w:name w:val="annotation text"/>
    <w:basedOn w:val="1"/>
    <w:link w:val="20"/>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1"/>
    <w:semiHidden/>
    <w:unhideWhenUsed/>
    <w:qFormat/>
    <w:uiPriority w:val="99"/>
    <w:rPr>
      <w:b/>
      <w:bCs/>
    </w:r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paragraph" w:customStyle="1" w:styleId="16">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3"/>
    <w:link w:val="6"/>
    <w:semiHidden/>
    <w:qFormat/>
    <w:uiPriority w:val="99"/>
  </w:style>
  <w:style w:type="character" w:customStyle="1" w:styleId="21">
    <w:name w:val="批注主题 字符"/>
    <w:basedOn w:val="20"/>
    <w:link w:val="11"/>
    <w:semiHidden/>
    <w:qFormat/>
    <w:uiPriority w:val="99"/>
    <w:rPr>
      <w:b/>
      <w:bCs/>
    </w:rPr>
  </w:style>
  <w:style w:type="character" w:customStyle="1" w:styleId="22">
    <w:name w:val="批注框文本 字符"/>
    <w:basedOn w:val="13"/>
    <w:link w:val="7"/>
    <w:semiHidden/>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_Style 8"/>
    <w:basedOn w:val="3"/>
    <w:next w:val="2"/>
    <w:qFormat/>
    <w:uiPriority w:val="0"/>
    <w:pPr>
      <w:spacing w:before="312" w:beforeLines="100" w:after="312" w:afterLines="100" w:line="360" w:lineRule="auto"/>
      <w:ind w:left="598" w:leftChars="285" w:firstLine="420" w:firstLineChars="200"/>
    </w:pPr>
    <w:rPr>
      <w:rFonts w:ascii="宋体" w:hAnsi="宋体"/>
      <w:szCs w:val="21"/>
    </w:rPr>
  </w:style>
  <w:style w:type="character" w:customStyle="1" w:styleId="25">
    <w:name w:val="标题 1 Char Char Char Char"/>
    <w:qFormat/>
    <w:uiPriority w:val="0"/>
    <w:rPr>
      <w:rFonts w:eastAsia="宋体"/>
      <w:b/>
      <w:bCs/>
      <w:kern w:val="44"/>
      <w:sz w:val="44"/>
      <w:szCs w:val="44"/>
      <w:lang w:val="en-US" w:eastAsia="zh-CN" w:bidi="ar-SA"/>
    </w:rPr>
  </w:style>
  <w:style w:type="paragraph" w:customStyle="1" w:styleId="26">
    <w:name w:val="正文样式小四号"/>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27">
    <w:name w:val="正文首行缩进 2 字符"/>
    <w:link w:val="2"/>
    <w:semiHidden/>
    <w:qFormat/>
    <w:uiPriority w:val="99"/>
    <w:rPr>
      <w:kern w:val="2"/>
      <w:sz w:val="21"/>
      <w:szCs w:val="22"/>
    </w:r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3596</Words>
  <Characters>3759</Characters>
  <Lines>45</Lines>
  <Paragraphs>12</Paragraphs>
  <TotalTime>14</TotalTime>
  <ScaleCrop>false</ScaleCrop>
  <LinksUpToDate>false</LinksUpToDate>
  <CharactersWithSpaces>3778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2023-05-22T20:45:00Z</dcterms:created>
  <dc:creator>Administrator</dc:creator>
  <cp:lastModifiedBy>hszx</cp:lastModifiedBy>
  <cp:lastPrinted>2020-07-19T01:07:00Z</cp:lastPrinted>
  <dcterms:modified xsi:type="dcterms:W3CDTF">2025-05-07T09:47:06Z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68281C79802446F2BD82C5D53BB5D605_13</vt:lpwstr>
  </property>
  <property fmtid="{D5CDD505-2E9C-101B-9397-08002B2CF9AE}" pid="4" name="KSOTemplateDocerSaveRecord">
    <vt:lpwstr>eyJoZGlkIjoiZTZmNzJjZjI4YjQ1YTc0ZjkyNDU5ODA1YTkxODk3MzkiLCJ1c2VySWQiOiIzMjA4MjIzODcifQ==</vt:lpwstr>
  </property>
</Properties>
</file>