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C43" w:rsidRPr="00EF0C43" w:rsidRDefault="00EF0C43" w:rsidP="00EF0C43">
      <w:pPr>
        <w:widowControl/>
        <w:spacing w:line="525" w:lineRule="atLeast"/>
        <w:jc w:val="center"/>
        <w:rPr>
          <w:rFonts w:ascii="微软雅黑" w:eastAsia="微软雅黑" w:hAnsi="微软雅黑" w:cs="宋体"/>
          <w:color w:val="1966A7"/>
          <w:kern w:val="0"/>
          <w:sz w:val="36"/>
          <w:szCs w:val="36"/>
        </w:rPr>
      </w:pPr>
      <w:bookmarkStart w:id="0" w:name="_GoBack"/>
      <w:r w:rsidRPr="00EF0C43">
        <w:rPr>
          <w:rFonts w:ascii="微软雅黑" w:eastAsia="微软雅黑" w:hAnsi="微软雅黑" w:cs="宋体" w:hint="eastAsia"/>
          <w:color w:val="1966A7"/>
          <w:kern w:val="0"/>
          <w:sz w:val="36"/>
          <w:szCs w:val="36"/>
        </w:rPr>
        <w:t>《关于印发医疗服务项目相关财务归集口径规范的通知》解读</w:t>
      </w:r>
    </w:p>
    <w:bookmarkEnd w:id="0"/>
    <w:p w:rsidR="00EF0C43" w:rsidRPr="00EF0C43" w:rsidRDefault="00EF0C43" w:rsidP="00EF0C43">
      <w:pPr>
        <w:widowControl/>
        <w:jc w:val="center"/>
        <w:rPr>
          <w:rFonts w:ascii="微软雅黑" w:eastAsia="微软雅黑" w:hAnsi="微软雅黑" w:cs="宋体" w:hint="eastAsia"/>
          <w:color w:val="484848"/>
          <w:kern w:val="0"/>
          <w:sz w:val="15"/>
          <w:szCs w:val="15"/>
        </w:rPr>
      </w:pPr>
      <w:r w:rsidRPr="00EF0C43">
        <w:rPr>
          <w:rFonts w:ascii="微软雅黑" w:eastAsia="微软雅黑" w:hAnsi="微软雅黑" w:cs="宋体"/>
          <w:noProof/>
          <w:color w:val="484848"/>
          <w:kern w:val="0"/>
          <w:sz w:val="18"/>
          <w:szCs w:val="18"/>
        </w:rPr>
        <w:drawing>
          <wp:inline distT="0" distB="0" distL="0" distR="0">
            <wp:extent cx="228600" cy="228600"/>
            <wp:effectExtent l="0" t="0" r="0" b="0"/>
            <wp:docPr id="3" name="图片 3" descr="http://www.nhc.gov.cn/caiwusi/xhtml/images/sm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hc.gov.cn/caiwusi/xhtml/images/sm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0C43">
        <w:rPr>
          <w:rFonts w:ascii="微软雅黑" w:eastAsia="微软雅黑" w:hAnsi="微软雅黑" w:cs="宋体"/>
          <w:noProof/>
          <w:color w:val="484848"/>
          <w:kern w:val="0"/>
          <w:sz w:val="18"/>
          <w:szCs w:val="18"/>
        </w:rPr>
        <w:drawing>
          <wp:inline distT="0" distB="0" distL="0" distR="0">
            <wp:extent cx="228600" cy="228600"/>
            <wp:effectExtent l="0" t="0" r="0" b="0"/>
            <wp:docPr id="2" name="图片 2" descr="http://www.nhc.gov.cn/caiwusi/xhtml/images/big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hc.gov.cn/caiwusi/xhtml/images/big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0C43">
        <w:rPr>
          <w:rFonts w:ascii="微软雅黑" w:eastAsia="微软雅黑" w:hAnsi="微软雅黑" w:cs="宋体"/>
          <w:noProof/>
          <w:color w:val="484848"/>
          <w:kern w:val="0"/>
          <w:sz w:val="18"/>
          <w:szCs w:val="18"/>
        </w:rPr>
        <w:drawing>
          <wp:inline distT="0" distB="0" distL="0" distR="0">
            <wp:extent cx="219075" cy="228600"/>
            <wp:effectExtent l="0" t="0" r="9525" b="0"/>
            <wp:docPr id="1" name="图片 1" descr="http://www.nhc.gov.cn/caiwusi/xhtml/images/dy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hc.gov.cn/caiwusi/xhtml/images/dys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C43" w:rsidRPr="00EF0C43" w:rsidRDefault="00EF0C43" w:rsidP="00EF0C43">
      <w:pPr>
        <w:widowControl/>
        <w:jc w:val="center"/>
        <w:rPr>
          <w:rFonts w:ascii="微软雅黑" w:eastAsia="微软雅黑" w:hAnsi="微软雅黑" w:cs="宋体" w:hint="eastAsia"/>
          <w:color w:val="484848"/>
          <w:kern w:val="0"/>
          <w:sz w:val="15"/>
          <w:szCs w:val="15"/>
        </w:rPr>
      </w:pPr>
      <w:r w:rsidRPr="00EF0C43">
        <w:rPr>
          <w:rFonts w:ascii="微软雅黑" w:eastAsia="微软雅黑" w:hAnsi="微软雅黑" w:cs="宋体" w:hint="eastAsia"/>
          <w:color w:val="979797"/>
          <w:kern w:val="0"/>
          <w:sz w:val="18"/>
          <w:szCs w:val="18"/>
        </w:rPr>
        <w:t>发布时间： 2023-09-28 来源: 财务司</w:t>
      </w:r>
    </w:p>
    <w:p w:rsidR="00EF0C43" w:rsidRPr="00EF0C43" w:rsidRDefault="00EF0C43" w:rsidP="00EF0C43">
      <w:pPr>
        <w:widowControl/>
        <w:ind w:firstLine="480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近日，国家卫生健康委、国家中医药局、</w:t>
      </w:r>
      <w:proofErr w:type="gramStart"/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国家疾控局</w:t>
      </w:r>
      <w:proofErr w:type="gramEnd"/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3部门联合印发《关于印发医疗服务项目相关财务归集口径规范的通知》，统一了医疗服务项目财务相关归集口径。现对有关要点解读如下：</w:t>
      </w:r>
    </w:p>
    <w:p w:rsidR="00EF0C43" w:rsidRPr="00EF0C43" w:rsidRDefault="00EF0C43" w:rsidP="00EF0C43">
      <w:pPr>
        <w:widowControl/>
        <w:ind w:firstLine="480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EF0C43">
        <w:rPr>
          <w:rFonts w:ascii="黑体" w:eastAsia="黑体" w:hAnsi="黑体" w:cs="宋体" w:hint="eastAsia"/>
          <w:color w:val="484848"/>
          <w:kern w:val="0"/>
          <w:sz w:val="32"/>
          <w:szCs w:val="32"/>
        </w:rPr>
        <w:t>一、制定背景</w:t>
      </w:r>
    </w:p>
    <w:p w:rsidR="00EF0C43" w:rsidRPr="00EF0C43" w:rsidRDefault="00EF0C43" w:rsidP="00EF0C43">
      <w:pPr>
        <w:widowControl/>
        <w:ind w:firstLine="480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为进一步发挥《全国医疗服务项目技术规范（2023年版）》（以下简称《项目技术规范》）的作用，做好与各地现行医疗服务价格项目的衔接，统一医疗服务项目财务相关归集口径，提高卫生健康行业经济数据质量，研究制定了《医疗服务项目相关财务归集口径规范》（以下简称《归集口径规范》）。</w:t>
      </w:r>
    </w:p>
    <w:p w:rsidR="00EF0C43" w:rsidRPr="00EF0C43" w:rsidRDefault="00EF0C43" w:rsidP="00EF0C43">
      <w:pPr>
        <w:widowControl/>
        <w:ind w:firstLine="480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EF0C43">
        <w:rPr>
          <w:rFonts w:ascii="黑体" w:eastAsia="黑体" w:hAnsi="黑体" w:cs="宋体" w:hint="eastAsia"/>
          <w:color w:val="484848"/>
          <w:kern w:val="0"/>
          <w:sz w:val="32"/>
          <w:szCs w:val="32"/>
        </w:rPr>
        <w:t>二、文件内容</w:t>
      </w:r>
    </w:p>
    <w:p w:rsidR="00EF0C43" w:rsidRPr="00EF0C43" w:rsidRDefault="00EF0C43" w:rsidP="00EF0C43">
      <w:pPr>
        <w:widowControl/>
        <w:ind w:firstLine="480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《归集口径规范》包括使用说明和正文2部分，正文总体框架包括《项目技术规范》项目编码和项目名称、《全国医疗服务价格项目规范（2012年版）》项目编码和项目名称、《全国医疗服务价格项目规范》（</w:t>
      </w:r>
      <w:r w:rsidRPr="00EF0C43">
        <w:rPr>
          <w:rFonts w:ascii="仿宋" w:eastAsia="仿宋" w:hAnsi="仿宋" w:cs="Times New Roman" w:hint="eastAsia"/>
          <w:color w:val="484848"/>
          <w:kern w:val="0"/>
          <w:sz w:val="32"/>
          <w:szCs w:val="32"/>
        </w:rPr>
        <w:t>2001</w:t>
      </w: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年版）项目编码和项目名称、收费票据分类、会计科目分类、病案首页费用分类等</w:t>
      </w:r>
      <w:r w:rsidRPr="00EF0C43">
        <w:rPr>
          <w:rFonts w:ascii="仿宋" w:eastAsia="仿宋" w:hAnsi="仿宋" w:cs="Times New Roman" w:hint="eastAsia"/>
          <w:color w:val="484848"/>
          <w:kern w:val="0"/>
          <w:sz w:val="32"/>
          <w:szCs w:val="32"/>
        </w:rPr>
        <w:t>9</w:t>
      </w: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个要素。</w:t>
      </w:r>
    </w:p>
    <w:p w:rsidR="00EF0C43" w:rsidRPr="00EF0C43" w:rsidRDefault="00EF0C43" w:rsidP="00EF0C43">
      <w:pPr>
        <w:widowControl/>
        <w:ind w:firstLine="480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《归集口径规范》将《项目技术规范》中的项目与各地正在执行的2001版和</w:t>
      </w:r>
      <w:r w:rsidRPr="00EF0C43">
        <w:rPr>
          <w:rFonts w:ascii="仿宋" w:eastAsia="仿宋" w:hAnsi="仿宋" w:cs="Times New Roman" w:hint="eastAsia"/>
          <w:color w:val="484848"/>
          <w:kern w:val="0"/>
          <w:sz w:val="32"/>
          <w:szCs w:val="32"/>
        </w:rPr>
        <w:t>2012</w:t>
      </w: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版《全国医疗服务价格项目规范》</w:t>
      </w: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lastRenderedPageBreak/>
        <w:t>进行了匹配衔接，统一项目在医疗收费票据分类、会计科目分类以及住院病案首页费用分类等财务相关归集口径。《归集口径规范》首次在国家层面统一了医疗服务项目财务相关归集口径；有利于提升卫生健康行业财务类数据可比性和利用程度，促进医院精细化管理；有利于提高卫生健康行业财务类数据质量，更好服务于卫生健康经济政策制定和行业研究。</w:t>
      </w:r>
    </w:p>
    <w:p w:rsidR="00EF0C43" w:rsidRPr="00EF0C43" w:rsidRDefault="00EF0C43" w:rsidP="00EF0C43">
      <w:pPr>
        <w:widowControl/>
        <w:ind w:firstLine="480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EF0C43">
        <w:rPr>
          <w:rFonts w:ascii="黑体" w:eastAsia="黑体" w:hAnsi="黑体" w:cs="宋体" w:hint="eastAsia"/>
          <w:color w:val="484848"/>
          <w:kern w:val="0"/>
          <w:sz w:val="32"/>
          <w:szCs w:val="32"/>
        </w:rPr>
        <w:t>三、工作要求</w:t>
      </w:r>
    </w:p>
    <w:p w:rsidR="00EF0C43" w:rsidRPr="00EF0C43" w:rsidRDefault="00EF0C43" w:rsidP="00EF0C43">
      <w:pPr>
        <w:widowControl/>
        <w:ind w:firstLine="480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各地要遵照《归集口径规范》，结合工作实际，将本地现行收费项目与《归集口径规范》中的项目进行匹配，指导医疗机构做好映射对接工作。</w:t>
      </w:r>
    </w:p>
    <w:p w:rsidR="00EF0C43" w:rsidRPr="00EF0C43" w:rsidRDefault="00EF0C43" w:rsidP="00EF0C43">
      <w:pPr>
        <w:widowControl/>
        <w:ind w:firstLine="480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br/>
      </w:r>
    </w:p>
    <w:p w:rsidR="00EF0C43" w:rsidRPr="00EF0C43" w:rsidRDefault="00EF0C43" w:rsidP="00EF0C43">
      <w:pPr>
        <w:widowControl/>
        <w:ind w:firstLine="480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EF0C43">
        <w:rPr>
          <w:rFonts w:ascii="仿宋" w:eastAsia="仿宋" w:hAnsi="仿宋" w:cs="宋体" w:hint="eastAsia"/>
          <w:color w:val="484848"/>
          <w:kern w:val="0"/>
          <w:sz w:val="32"/>
          <w:szCs w:val="32"/>
        </w:rPr>
        <w:t>相关链接：</w:t>
      </w:r>
      <w:hyperlink r:id="rId9" w:history="1">
        <w:r w:rsidRPr="00EF0C43">
          <w:rPr>
            <w:rFonts w:ascii="仿宋" w:eastAsia="仿宋" w:hAnsi="仿宋" w:cs="宋体" w:hint="eastAsia"/>
            <w:color w:val="484848"/>
            <w:kern w:val="0"/>
            <w:sz w:val="32"/>
            <w:szCs w:val="32"/>
          </w:rPr>
          <w:t>关于印发医疗服务项目相关财务归集口径规范的通知</w:t>
        </w:r>
      </w:hyperlink>
    </w:p>
    <w:p w:rsidR="00097084" w:rsidRPr="00EF0C43" w:rsidRDefault="00097084"/>
    <w:sectPr w:rsidR="00097084" w:rsidRPr="00EF0C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659"/>
    <w:rsid w:val="00097084"/>
    <w:rsid w:val="00970659"/>
    <w:rsid w:val="00A02538"/>
    <w:rsid w:val="00EF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DCBB03-03AF-4315-97DA-C6D97103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0C43"/>
    <w:rPr>
      <w:color w:val="0000FF"/>
      <w:u w:val="single"/>
    </w:rPr>
  </w:style>
  <w:style w:type="character" w:customStyle="1" w:styleId="mr">
    <w:name w:val="mr"/>
    <w:basedOn w:val="a0"/>
    <w:rsid w:val="00EF0C43"/>
  </w:style>
  <w:style w:type="paragraph" w:styleId="a4">
    <w:name w:val="Normal (Web)"/>
    <w:basedOn w:val="a"/>
    <w:uiPriority w:val="99"/>
    <w:semiHidden/>
    <w:unhideWhenUsed/>
    <w:rsid w:val="00EF0C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9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965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33090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javascript:window.print(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nhc.gov.cn/caiwusi/s7786k/202309/fa5d329b6ca44f7f97153628483b49df.shtml" TargetMode="External"/><Relationship Id="rId9" Type="http://schemas.openxmlformats.org/officeDocument/2006/relationships/hyperlink" Target="http://www.nhc.gov.cn/caiwusi/s7785t/202309/89a722d0ca024797b72a554596afaa9b.s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722</Characters>
  <Application>Microsoft Office Word</Application>
  <DocSecurity>0</DocSecurity>
  <Lines>6</Lines>
  <Paragraphs>1</Paragraphs>
  <ScaleCrop>false</ScaleCrop>
  <Company>Lenovo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2024-06-27T02:37:00Z</dcterms:created>
  <dcterms:modified xsi:type="dcterms:W3CDTF">2024-06-27T02:37:00Z</dcterms:modified>
</cp:coreProperties>
</file>